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jc w:val="center"/>
      </w:pPr>
      <w:r>
        <w:rPr>
          <w:rFonts w:ascii="Arial" w:cs="Arial" w:eastAsia="Arial" w:hAnsi="Arial"/>
          <w:b/>
          <w:bCs/>
          <w:color w:val="2E4057"/>
          <w:sz w:val="36"/>
          <w:szCs w:val="36"/>
        </w:rPr>
        <w:t xml:space="preserve">RESPONDING AFFIDAVIT</w:t>
      </w:r>
    </w:p>
    <w:p>
      <w:pPr>
        <w:spacing w:before="0" w:after="120"/>
        <w:jc w:val="center"/>
      </w:pPr>
      <w:r>
        <w:rPr>
          <w:rFonts w:ascii="Arial" w:cs="Arial" w:eastAsia="Arial" w:hAnsi="Arial"/>
          <w:b/>
          <w:bCs/>
          <w:sz w:val="22"/>
          <w:szCs w:val="22"/>
        </w:rPr>
        <w:t xml:space="preserve">APPLICATION TO SET ASIDE PART A OF THE EX PARTE INTERDICT AS VOID AB INITIO</w:t>
      </w:r>
    </w:p>
    <w:p>
      <w:pPr>
        <w:spacing w:before="0" w:after="240"/>
        <w:jc w:val="center"/>
      </w:pPr>
      <w:r>
        <w:rPr>
          <w:rFonts w:ascii="Arial" w:cs="Arial" w:eastAsia="Arial" w:hAnsi="Arial"/>
          <w:color w:val="666666"/>
          <w:sz w:val="18"/>
          <w:szCs w:val="18"/>
        </w:rPr>
        <w:t xml:space="preserve">Case No: 2025-137857  |  ENHANCED VERSION — INCORPORATING SAGE PREDICATE CRIME EVIDENCE</w:t>
      </w:r>
    </w:p>
    <w:p>
      <w:pPr>
        <w:pBdr>
          <w:bottom w:val="single" w:color="2E4057" w:sz="6" w:space="1"/>
        </w:pBdr>
        <w:spacing w:before="240" w:after="240"/>
      </w:pPr>
    </w:p>
    <w:p>
      <w:pPr>
        <w:spacing w:before="120" w:after="120"/>
        <w:jc w:val="center"/>
      </w:pPr>
      <w:r>
        <w:rPr>
          <w:rFonts w:ascii="Arial" w:cs="Arial" w:eastAsia="Arial" w:hAnsi="Arial"/>
          <w:b/>
          <w:bCs/>
          <w:sz w:val="22"/>
          <w:szCs w:val="22"/>
        </w:rPr>
        <w:t xml:space="preserve">IN THE HIGH COURT OF SOUTH AFRICA</w:t>
      </w:r>
    </w:p>
    <w:p>
      <w:pPr>
        <w:spacing w:before="120" w:after="120"/>
        <w:jc w:val="center"/>
      </w:pPr>
      <w:r>
        <w:rPr>
          <w:rFonts w:ascii="Arial" w:cs="Arial" w:eastAsia="Arial" w:hAnsi="Arial"/>
          <w:b/>
          <w:bCs/>
          <w:sz w:val="22"/>
          <w:szCs w:val="22"/>
        </w:rPr>
        <w:t xml:space="preserve">GAUTENG DIVISION, PRETORIA</w:t>
      </w:r>
    </w:p>
    <w:p>
      <w:pPr>
        <w:spacing w:before="120" w:after="120"/>
        <w:jc w:val="center"/>
      </w:pPr>
      <w:r>
        <w:rPr>
          <w:rFonts w:ascii="Arial" w:cs="Arial" w:eastAsia="Arial" w:hAnsi="Arial"/>
          <w:sz w:val="22"/>
          <w:szCs w:val="22"/>
        </w:rPr>
        <w:t xml:space="preserve">In the matter between:</w:t>
      </w:r>
    </w:p>
    <w:p>
      <w:pPr>
        <w:spacing w:before="120" w:after="120"/>
        <w:jc w:val="both"/>
      </w:pPr>
      <w:r>
        <w:rPr>
          <w:rFonts w:ascii="Arial" w:cs="Arial" w:eastAsia="Arial" w:hAnsi="Arial"/>
          <w:b/>
          <w:bCs/>
          <w:sz w:val="22"/>
          <w:szCs w:val="22"/>
        </w:rPr>
        <w:t xml:space="preserve">PETER ANDREW FAUCITT</w:t>
      </w:r>
      <w:r>
        <w:rPr>
          <w:rFonts w:ascii="Arial" w:cs="Arial" w:eastAsia="Arial" w:hAnsi="Arial"/>
          <w:sz w:val="22"/>
          <w:szCs w:val="22"/>
        </w:rPr>
        <w:t xml:space="preserve"> — Applicant</w:t>
      </w:r>
    </w:p>
    <w:p>
      <w:pPr>
        <w:spacing w:before="120" w:after="120"/>
        <w:jc w:val="both"/>
      </w:pPr>
      <w:r>
        <w:rPr>
          <w:rFonts w:ascii="Arial" w:cs="Arial" w:eastAsia="Arial" w:hAnsi="Arial"/>
          <w:sz w:val="22"/>
          <w:szCs w:val="22"/>
        </w:rPr>
        <w:t xml:space="preserve">and</w:t>
      </w:r>
    </w:p>
    <w:p>
      <w:pPr>
        <w:spacing w:before="120" w:after="120"/>
        <w:jc w:val="both"/>
      </w:pPr>
      <w:r>
        <w:rPr>
          <w:rFonts w:ascii="Arial" w:cs="Arial" w:eastAsia="Arial" w:hAnsi="Arial"/>
          <w:b/>
          <w:bCs/>
          <w:sz w:val="22"/>
          <w:szCs w:val="22"/>
        </w:rPr>
        <w:t xml:space="preserve">JACQUELINE FAUCITT</w:t>
      </w:r>
      <w:r>
        <w:rPr>
          <w:rFonts w:ascii="Arial" w:cs="Arial" w:eastAsia="Arial" w:hAnsi="Arial"/>
          <w:sz w:val="22"/>
          <w:szCs w:val="22"/>
        </w:rPr>
        <w:t xml:space="preserve"> — First Respondent</w:t>
      </w:r>
    </w:p>
    <w:p>
      <w:pPr>
        <w:spacing w:before="120" w:after="120"/>
        <w:jc w:val="both"/>
      </w:pPr>
      <w:r>
        <w:rPr>
          <w:rFonts w:ascii="Arial" w:cs="Arial" w:eastAsia="Arial" w:hAnsi="Arial"/>
          <w:b/>
          <w:bCs/>
          <w:sz w:val="22"/>
          <w:szCs w:val="22"/>
        </w:rPr>
        <w:t xml:space="preserve">DANIEL JAMES FAUCITT</w:t>
      </w:r>
      <w:r>
        <w:rPr>
          <w:rFonts w:ascii="Arial" w:cs="Arial" w:eastAsia="Arial" w:hAnsi="Arial"/>
          <w:sz w:val="22"/>
          <w:szCs w:val="22"/>
        </w:rPr>
        <w:t xml:space="preserve"> — Second Respondent</w:t>
      </w:r>
    </w:p>
    <w:p>
      <w:pPr>
        <w:spacing w:before="120" w:after="120"/>
        <w:jc w:val="both"/>
      </w:pPr>
      <w:r>
        <w:rPr>
          <w:rFonts w:ascii="Arial" w:cs="Arial" w:eastAsia="Arial" w:hAnsi="Arial"/>
          <w:b/>
          <w:bCs/>
          <w:sz w:val="22"/>
          <w:szCs w:val="22"/>
        </w:rPr>
        <w:t xml:space="preserve">REGIMA WORLDWIDE DISTRIBUTION (PTY) LTD</w:t>
      </w:r>
      <w:r>
        <w:rPr>
          <w:rFonts w:ascii="Arial" w:cs="Arial" w:eastAsia="Arial" w:hAnsi="Arial"/>
          <w:sz w:val="22"/>
          <w:szCs w:val="22"/>
        </w:rPr>
        <w:t xml:space="preserve"> — Third Respondent</w:t>
      </w:r>
    </w:p>
    <w:p>
      <w:pPr>
        <w:spacing w:before="120" w:after="120"/>
        <w:jc w:val="both"/>
      </w:pPr>
      <w:r>
        <w:rPr>
          <w:rFonts w:ascii="Arial" w:cs="Arial" w:eastAsia="Arial" w:hAnsi="Arial"/>
          <w:b/>
          <w:bCs/>
          <w:sz w:val="22"/>
          <w:szCs w:val="22"/>
        </w:rPr>
        <w:t xml:space="preserve">REGIMA SKIN TREATMENTS CC</w:t>
      </w:r>
      <w:r>
        <w:rPr>
          <w:rFonts w:ascii="Arial" w:cs="Arial" w:eastAsia="Arial" w:hAnsi="Arial"/>
          <w:sz w:val="22"/>
          <w:szCs w:val="22"/>
        </w:rPr>
        <w:t xml:space="preserve"> — Fourth Respondent</w:t>
      </w:r>
    </w:p>
    <w:p>
      <w:pPr>
        <w:spacing w:before="120" w:after="120"/>
        <w:jc w:val="both"/>
      </w:pPr>
      <w:r>
        <w:rPr>
          <w:rFonts w:ascii="Arial" w:cs="Arial" w:eastAsia="Arial" w:hAnsi="Arial"/>
          <w:b/>
          <w:bCs/>
          <w:sz w:val="22"/>
          <w:szCs w:val="22"/>
        </w:rPr>
        <w:t xml:space="preserve">VILLA VIA ARCADIA NO 2 CC</w:t>
      </w:r>
      <w:r>
        <w:rPr>
          <w:rFonts w:ascii="Arial" w:cs="Arial" w:eastAsia="Arial" w:hAnsi="Arial"/>
          <w:sz w:val="22"/>
          <w:szCs w:val="22"/>
        </w:rPr>
        <w:t xml:space="preserve"> — Fifth Respondent</w:t>
      </w:r>
    </w:p>
    <w:p>
      <w:pPr>
        <w:spacing w:before="120" w:after="120"/>
        <w:jc w:val="both"/>
      </w:pPr>
      <w:r>
        <w:rPr>
          <w:rFonts w:ascii="Arial" w:cs="Arial" w:eastAsia="Arial" w:hAnsi="Arial"/>
          <w:b/>
          <w:bCs/>
          <w:sz w:val="22"/>
          <w:szCs w:val="22"/>
        </w:rPr>
        <w:t xml:space="preserve">STRATEGIC LOGISTICS CC</w:t>
      </w:r>
      <w:r>
        <w:rPr>
          <w:rFonts w:ascii="Arial" w:cs="Arial" w:eastAsia="Arial" w:hAnsi="Arial"/>
          <w:sz w:val="22"/>
          <w:szCs w:val="22"/>
        </w:rPr>
        <w:t xml:space="preserve"> — Sixth Respondent</w:t>
      </w:r>
    </w:p>
    <w:p>
      <w:pPr>
        <w:spacing w:before="120" w:after="120"/>
        <w:jc w:val="both"/>
      </w:pPr>
      <w:r>
        <w:rPr>
          <w:rFonts w:ascii="Arial" w:cs="Arial" w:eastAsia="Arial" w:hAnsi="Arial"/>
          <w:b/>
          <w:bCs/>
          <w:sz w:val="22"/>
          <w:szCs w:val="22"/>
        </w:rPr>
        <w:t xml:space="preserve">FIRSTRAND BANK LTD t/a FIRST NATIONAL BANK</w:t>
      </w:r>
      <w:r>
        <w:rPr>
          <w:rFonts w:ascii="Arial" w:cs="Arial" w:eastAsia="Arial" w:hAnsi="Arial"/>
          <w:sz w:val="22"/>
          <w:szCs w:val="22"/>
        </w:rPr>
        <w:t xml:space="preserve"> — Seventh Respondent</w:t>
      </w:r>
    </w:p>
    <w:p>
      <w:pPr>
        <w:spacing w:before="120" w:after="120"/>
        <w:jc w:val="both"/>
      </w:pPr>
      <w:r>
        <w:rPr>
          <w:rFonts w:ascii="Arial" w:cs="Arial" w:eastAsia="Arial" w:hAnsi="Arial"/>
          <w:b/>
          <w:bCs/>
          <w:sz w:val="22"/>
          <w:szCs w:val="22"/>
        </w:rPr>
        <w:t xml:space="preserve">ABSA BANK LIMITED</w:t>
      </w:r>
      <w:r>
        <w:rPr>
          <w:rFonts w:ascii="Arial" w:cs="Arial" w:eastAsia="Arial" w:hAnsi="Arial"/>
          <w:sz w:val="22"/>
          <w:szCs w:val="22"/>
        </w:rPr>
        <w:t xml:space="preserve"> — Eighth Respondent</w:t>
      </w:r>
    </w:p>
    <w:p>
      <w:pPr>
        <w:spacing w:before="120" w:after="120"/>
        <w:jc w:val="both"/>
      </w:pPr>
      <w:r>
        <w:rPr>
          <w:rFonts w:ascii="Arial" w:cs="Arial" w:eastAsia="Arial" w:hAnsi="Arial"/>
          <w:b/>
          <w:bCs/>
          <w:sz w:val="22"/>
          <w:szCs w:val="22"/>
        </w:rPr>
        <w:t xml:space="preserve">THE COMPANIES AND INTELLECTUAL PROPERTY COMMISSION</w:t>
      </w:r>
      <w:r>
        <w:rPr>
          <w:rFonts w:ascii="Arial" w:cs="Arial" w:eastAsia="Arial" w:hAnsi="Arial"/>
          <w:sz w:val="22"/>
          <w:szCs w:val="22"/>
        </w:rPr>
        <w:t xml:space="preserve"> — Ninth Respondent</w:t>
      </w:r>
    </w:p>
    <w:p>
      <w:pPr>
        <w:pBdr>
          <w:bottom w:val="single" w:color="2E4057" w:sz="6" w:space="1"/>
        </w:pBdr>
        <w:spacing w:before="240" w:after="240"/>
      </w:pPr>
    </w:p>
    <w:p>
      <w:pPr>
        <w:pStyle w:val="Heading1"/>
        <w:spacing w:before="240" w:after="120"/>
      </w:pPr>
      <w:r>
        <w:rPr>
          <w:rFonts w:ascii="Arial" w:cs="Arial" w:eastAsia="Arial" w:hAnsi="Arial"/>
          <w:b/>
          <w:bCs/>
          <w:color w:val="2E4057"/>
          <w:sz w:val="28"/>
          <w:szCs w:val="28"/>
        </w:rPr>
        <w:t xml:space="preserve">ANSWERING AFFIDAVIT OF THE SECOND RESPONDENT</w:t>
      </w:r>
    </w:p>
    <w:p>
      <w:pPr>
        <w:spacing w:before="120" w:after="120"/>
        <w:jc w:val="both"/>
      </w:pPr>
      <w:r>
        <w:rPr>
          <w:rFonts w:ascii="Arial" w:cs="Arial" w:eastAsia="Arial" w:hAnsi="Arial"/>
          <w:sz w:val="22"/>
          <w:szCs w:val="22"/>
        </w:rPr>
        <w:t xml:space="preserve">I, the undersigned,</w:t>
      </w:r>
    </w:p>
    <w:p>
      <w:pPr>
        <w:spacing w:before="120" w:after="120"/>
        <w:jc w:val="both"/>
      </w:pPr>
      <w:r>
        <w:rPr>
          <w:rFonts w:ascii="Arial" w:cs="Arial" w:eastAsia="Arial" w:hAnsi="Arial"/>
          <w:b/>
          <w:bCs/>
          <w:sz w:val="22"/>
          <w:szCs w:val="22"/>
        </w:rPr>
        <w:t xml:space="preserve">DANIEL JAMES FAUCITT</w:t>
      </w:r>
    </w:p>
    <w:p>
      <w:pPr>
        <w:spacing w:before="120" w:after="120"/>
        <w:jc w:val="both"/>
      </w:pPr>
      <w:r>
        <w:rPr>
          <w:rFonts w:ascii="Arial" w:cs="Arial" w:eastAsia="Arial" w:hAnsi="Arial"/>
          <w:sz w:val="22"/>
          <w:szCs w:val="22"/>
        </w:rPr>
        <w:t xml:space="preserve">do hereby make oath and state that:</w:t>
      </w:r>
    </w:p>
    <w:p>
      <w:pPr>
        <w:pBdr>
          <w:bottom w:val="single" w:color="2E4057" w:sz="6" w:space="1"/>
        </w:pBdr>
        <w:spacing w:before="240" w:after="240"/>
      </w:pPr>
    </w:p>
    <w:p>
      <w:pPr>
        <w:pStyle w:val="Heading2"/>
        <w:spacing w:before="240" w:after="120"/>
      </w:pPr>
      <w:r>
        <w:rPr>
          <w:rFonts w:ascii="Arial" w:cs="Arial" w:eastAsia="Arial" w:hAnsi="Arial"/>
          <w:b/>
          <w:bCs/>
          <w:color w:val="2E4057"/>
          <w:sz w:val="24"/>
          <w:szCs w:val="24"/>
        </w:rPr>
        <w:t xml:space="preserve">PART A: PRELIMINARY</w:t>
      </w:r>
    </w:p>
    <w:p>
      <w:pPr>
        <w:spacing w:before="120" w:after="120"/>
        <w:jc w:val="both"/>
      </w:pPr>
      <w:r>
        <w:rPr>
          <w:rFonts w:ascii="Arial" w:cs="Arial" w:eastAsia="Arial" w:hAnsi="Arial"/>
          <w:b/>
          <w:bCs/>
          <w:sz w:val="22"/>
          <w:szCs w:val="22"/>
        </w:rPr>
        <w:t xml:space="preserve">1.</w:t>
      </w:r>
      <w:r>
        <w:rPr>
          <w:rFonts w:ascii="Arial" w:cs="Arial" w:eastAsia="Arial" w:hAnsi="Arial"/>
          <w:sz w:val="22"/>
          <w:szCs w:val="22"/>
        </w:rPr>
        <w:t xml:space="preserve">  I am the Second Respondent in this matter, son of the First Respondent and the Applicant, director of RégimA Worldwide Distribution (Pty) Ltd, and member of Strategic Logistics CC, RégimA Skin Treatments CC, and Villa Via Arcadia No 2 CC. I am the Chief Information Officer of the group of entities and I personally designed, built, and maintained the automated e-commerce infrastructure at the centre of this affidavit. The facts herein are within my personal knowledge and are true and correct. Where I refer to documentary evidence, such evidence is annexed.</w:t>
      </w:r>
    </w:p>
    <w:p>
      <w:pPr>
        <w:spacing w:before="120" w:after="120"/>
        <w:jc w:val="both"/>
      </w:pPr>
      <w:r>
        <w:rPr>
          <w:rFonts w:ascii="Arial" w:cs="Arial" w:eastAsia="Arial" w:hAnsi="Arial"/>
          <w:b/>
          <w:bCs/>
          <w:sz w:val="22"/>
          <w:szCs w:val="22"/>
        </w:rPr>
        <w:t xml:space="preserve">2.</w:t>
      </w:r>
      <w:r>
        <w:rPr>
          <w:rFonts w:ascii="Arial" w:cs="Arial" w:eastAsia="Arial" w:hAnsi="Arial"/>
          <w:sz w:val="22"/>
          <w:szCs w:val="22"/>
        </w:rPr>
        <w:t xml:space="preserve">  This affidavit is an application, in terms of Rule 42(1)(a) and this Court's inherent jurisdiction, to set aside Part A of the ex parte interdict granted on 19 August 2025 as </w:t>
      </w:r>
      <w:r>
        <w:rPr>
          <w:rFonts w:ascii="Arial" w:cs="Arial" w:eastAsia="Arial" w:hAnsi="Arial"/>
          <w:b/>
          <w:bCs/>
          <w:sz w:val="22"/>
          <w:szCs w:val="22"/>
        </w:rPr>
        <w:t xml:space="preserve">void ab initio</w:t>
      </w:r>
      <w:r>
        <w:rPr>
          <w:rFonts w:ascii="Arial" w:cs="Arial" w:eastAsia="Arial" w:hAnsi="Arial"/>
          <w:sz w:val="22"/>
          <w:szCs w:val="22"/>
        </w:rPr>
        <w:t xml:space="preserve">. The interdict was obtained through perjury committed with provable foreknowledge — the Applicant swore false statements under oath while in possession of contemporaneous documents proving those statements false. A newly identified dimension of this fraud, elaborated in Part B2 below, concerns the Applicant's and Ms Farrar's deliberate destruction of the company's Sage accounting system access in July 2024 — the very act that made invoice production impossible — and their subsequent attempt to frame the Second Respondent for the consequences of their own predicate crime.</w:t>
      </w:r>
    </w:p>
    <w:p>
      <w:pPr>
        <w:spacing w:before="120" w:after="120"/>
        <w:jc w:val="both"/>
      </w:pPr>
      <w:r>
        <w:rPr>
          <w:rFonts w:ascii="Arial" w:cs="Arial" w:eastAsia="Arial" w:hAnsi="Arial"/>
          <w:b/>
          <w:bCs/>
          <w:sz w:val="22"/>
          <w:szCs w:val="22"/>
        </w:rPr>
        <w:t xml:space="preserve">3.</w:t>
      </w:r>
      <w:r>
        <w:rPr>
          <w:rFonts w:ascii="Arial" w:cs="Arial" w:eastAsia="Arial" w:hAnsi="Arial"/>
          <w:sz w:val="22"/>
          <w:szCs w:val="22"/>
        </w:rPr>
        <w:t xml:space="preserve">  The legal principles are settled. An ex parte applicant owes a duty of </w:t>
      </w:r>
      <w:r>
        <w:rPr>
          <w:rFonts w:ascii="Arial" w:cs="Arial" w:eastAsia="Arial" w:hAnsi="Arial"/>
          <w:i/>
          <w:iCs/>
          <w:sz w:val="22"/>
          <w:szCs w:val="22"/>
        </w:rPr>
        <w:t xml:space="preserve">uberrima fides</w:t>
      </w:r>
      <w:r>
        <w:rPr>
          <w:rFonts w:ascii="Arial" w:cs="Arial" w:eastAsia="Arial" w:hAnsi="Arial"/>
          <w:sz w:val="22"/>
          <w:szCs w:val="22"/>
        </w:rPr>
        <w:t xml:space="preserve"> — utmost good faith — requiring disclosure of all material facts, including those adverse to the application (</w:t>
      </w:r>
      <w:r>
        <w:rPr>
          <w:rFonts w:ascii="Arial" w:cs="Arial" w:eastAsia="Arial" w:hAnsi="Arial"/>
          <w:i/>
          <w:iCs/>
          <w:sz w:val="22"/>
          <w:szCs w:val="22"/>
        </w:rPr>
        <w:t xml:space="preserve">Schlesinger v Schlesinger</w:t>
      </w:r>
      <w:r>
        <w:rPr>
          <w:rFonts w:ascii="Arial" w:cs="Arial" w:eastAsia="Arial" w:hAnsi="Arial"/>
          <w:sz w:val="22"/>
          <w:szCs w:val="22"/>
        </w:rPr>
        <w:t xml:space="preserve"> 1979 (4) SA 342 (W); </w:t>
      </w:r>
      <w:r>
        <w:rPr>
          <w:rFonts w:ascii="Arial" w:cs="Arial" w:eastAsia="Arial" w:hAnsi="Arial"/>
          <w:i/>
          <w:iCs/>
          <w:sz w:val="22"/>
          <w:szCs w:val="22"/>
        </w:rPr>
        <w:t xml:space="preserve">Thomas Construction (Pty) Ltd (In Liquidation) v Grafton Furniture Manufacturers (Pty) Ltd</w:t>
      </w:r>
      <w:r>
        <w:rPr>
          <w:rFonts w:ascii="Arial" w:cs="Arial" w:eastAsia="Arial" w:hAnsi="Arial"/>
          <w:sz w:val="22"/>
          <w:szCs w:val="22"/>
        </w:rPr>
        <w:t xml:space="preserve"> 1988 (2) SA 546 (A)). An order obtained through material non-disclosure is void ab initio (</w:t>
      </w:r>
      <w:r>
        <w:rPr>
          <w:rFonts w:ascii="Arial" w:cs="Arial" w:eastAsia="Arial" w:hAnsi="Arial"/>
          <w:i/>
          <w:iCs/>
          <w:sz w:val="22"/>
          <w:szCs w:val="22"/>
        </w:rPr>
        <w:t xml:space="preserve">Lategan v Lategan</w:t>
      </w:r>
      <w:r>
        <w:rPr>
          <w:rFonts w:ascii="Arial" w:cs="Arial" w:eastAsia="Arial" w:hAnsi="Arial"/>
          <w:sz w:val="22"/>
          <w:szCs w:val="22"/>
        </w:rPr>
        <w:t xml:space="preserve"> 2001 (4) SA 1341 (SCA)). Where fraud is proven, rescission is mandatory, not discretionary (</w:t>
      </w:r>
      <w:r>
        <w:rPr>
          <w:rFonts w:ascii="Arial" w:cs="Arial" w:eastAsia="Arial" w:hAnsi="Arial"/>
          <w:i/>
          <w:iCs/>
          <w:sz w:val="22"/>
          <w:szCs w:val="22"/>
        </w:rPr>
        <w:t xml:space="preserve">Giddey NO v JC Barnard and Partners</w:t>
      </w:r>
      <w:r>
        <w:rPr>
          <w:rFonts w:ascii="Arial" w:cs="Arial" w:eastAsia="Arial" w:hAnsi="Arial"/>
          <w:sz w:val="22"/>
          <w:szCs w:val="22"/>
        </w:rPr>
        <w:t xml:space="preserve"> 2007 (5) SA 525 (CC)). </w:t>
      </w:r>
      <w:r>
        <w:rPr>
          <w:rFonts w:ascii="Arial" w:cs="Arial" w:eastAsia="Arial" w:hAnsi="Arial"/>
          <w:i/>
          <w:iCs/>
          <w:sz w:val="22"/>
          <w:szCs w:val="22"/>
        </w:rPr>
        <w:t xml:space="preserve">Fraus omnia corrumpit</w:t>
      </w:r>
      <w:r>
        <w:rPr>
          <w:rFonts w:ascii="Arial" w:cs="Arial" w:eastAsia="Arial" w:hAnsi="Arial"/>
          <w:sz w:val="22"/>
          <w:szCs w:val="22"/>
        </w:rPr>
        <w:t xml:space="preserve">: fraud vitiates everything.</w:t>
      </w:r>
    </w:p>
    <w:p>
      <w:pPr>
        <w:pBdr>
          <w:bottom w:val="single" w:color="2E4057" w:sz="6" w:space="1"/>
        </w:pBdr>
        <w:spacing w:before="240" w:after="240"/>
      </w:pPr>
    </w:p>
    <w:p>
      <w:pPr>
        <w:pStyle w:val="Heading2"/>
        <w:spacing w:before="240" w:after="120"/>
      </w:pPr>
      <w:r>
        <w:rPr>
          <w:rFonts w:ascii="Arial" w:cs="Arial" w:eastAsia="Arial" w:hAnsi="Arial"/>
          <w:b/>
          <w:bCs/>
          <w:color w:val="2E4057"/>
          <w:sz w:val="24"/>
          <w:szCs w:val="24"/>
        </w:rPr>
        <w:t xml:space="preserve">PART B: THE PERJURY — THE FOUR FALSE ASSERTIONS</w:t>
      </w:r>
    </w:p>
    <w:p>
      <w:pPr>
        <w:spacing w:before="120" w:after="120"/>
        <w:jc w:val="both"/>
      </w:pPr>
      <w:r>
        <w:rPr>
          <w:rFonts w:ascii="Arial" w:cs="Arial" w:eastAsia="Arial" w:hAnsi="Arial"/>
          <w:b/>
          <w:bCs/>
          <w:sz w:val="22"/>
          <w:szCs w:val="22"/>
        </w:rPr>
        <w:t xml:space="preserve">4.</w:t>
      </w:r>
      <w:r>
        <w:rPr>
          <w:rFonts w:ascii="Arial" w:cs="Arial" w:eastAsia="Arial" w:hAnsi="Arial"/>
          <w:sz w:val="22"/>
          <w:szCs w:val="22"/>
        </w:rPr>
        <w:t xml:space="preserve">  The entire ex parte interdict rests on a single factual premise. At paragraph 7.18 of his founding affidavit, the Applicant swore under oath:</w:t>
      </w:r>
    </w:p>
    <w:p>
      <w:pPr>
        <w:spacing w:before="120" w:after="120"/>
        <w:ind w:left="720" w:right="720"/>
      </w:pPr>
      <w:r>
        <w:rPr>
          <w:rFonts w:ascii="Arial" w:cs="Arial" w:eastAsia="Arial" w:hAnsi="Arial"/>
          <w:i/>
          <w:iCs/>
          <w:sz w:val="22"/>
          <w:szCs w:val="22"/>
        </w:rPr>
        <w:t xml:space="preserve">“She [Jacqueline Faucitt] adopted an ‘I will show you’ approach, defended our son, and then transferred to him the sum of R500,000.00 from the corporations, on or about 16 July 2025, as a ‘birthday gift’, which I did not authorise, and which he was not entitled to accept.”</w:t>
      </w:r>
    </w:p>
    <w:p>
      <w:pPr>
        <w:spacing w:before="120" w:after="120"/>
        <w:jc w:val="both"/>
      </w:pPr>
      <w:r>
        <w:rPr>
          <w:rFonts w:ascii="Arial" w:cs="Arial" w:eastAsia="Arial" w:hAnsi="Arial"/>
          <w:sz w:val="22"/>
          <w:szCs w:val="22"/>
        </w:rPr>
        <w:t xml:space="preserve">This sentence contains four independently provable falsehoods. The full analysis of the SOLE mandate, card cancellation, and reimbursement entitlement is set out at paragraphs 7 to 24 below, consistent with the First Respondent's answering affidavit. This affidavit focuses specifically on the previously unaddressed dimension: the systematic destruction of the Sage accounting infrastructure in July 2024 as the </w:t>
      </w:r>
    </w:p>
    <w:p>
      <w:pPr>
        <w:spacing w:before="120" w:after="120"/>
        <w:jc w:val="both"/>
      </w:pPr>
      <w:r>
        <w:rPr>
          <w:rFonts w:ascii="Arial" w:cs="Arial" w:eastAsia="Arial" w:hAnsi="Arial"/>
          <w:b/>
          <w:bCs/>
          <w:sz w:val="22"/>
          <w:szCs w:val="22"/>
        </w:rPr>
        <w:t xml:space="preserve">predicate crime</w:t>
      </w:r>
      <w:r>
        <w:rPr>
          <w:rFonts w:ascii="Arial" w:cs="Arial" w:eastAsia="Arial" w:hAnsi="Arial"/>
          <w:sz w:val="22"/>
          <w:szCs w:val="22"/>
        </w:rPr>
        <w:t xml:space="preserve"> that made invoice production technically impossible and the First and Second Respondents the scapegoat for that impossibility.</w:t>
      </w:r>
    </w:p>
    <w:p>
      <w:pPr>
        <w:pBdr>
          <w:bottom w:val="single" w:color="2E4057" w:sz="6" w:space="1"/>
        </w:pBdr>
        <w:spacing w:before="240" w:after="240"/>
      </w:pPr>
    </w:p>
    <w:p>
      <w:pPr>
        <w:pStyle w:val="Heading2"/>
        <w:spacing w:before="240" w:after="120"/>
      </w:pPr>
      <w:r>
        <w:rPr>
          <w:rFonts w:ascii="Arial" w:cs="Arial" w:eastAsia="Arial" w:hAnsi="Arial"/>
          <w:b/>
          <w:bCs/>
          <w:color w:val="2E4057"/>
          <w:sz w:val="24"/>
          <w:szCs w:val="24"/>
        </w:rPr>
        <w:t xml:space="preserve">PART B2: THE SAGE PREDICATE CRIME — THE INTERDICT IS BUILT ON THE CONSEQUENCES OF THE APPLICANT'S OWN FRAUD</w:t>
      </w:r>
    </w:p>
    <w:p>
      <w:pPr>
        <w:spacing w:before="160" w:after="120"/>
      </w:pPr>
      <w:r>
        <w:rPr>
          <w:rFonts w:ascii="Arial" w:cs="Arial" w:eastAsia="Arial" w:hAnsi="Arial"/>
          <w:b/>
          <w:bCs/>
          <w:color w:val="2E4057"/>
          <w:sz w:val="23"/>
          <w:szCs w:val="23"/>
        </w:rPr>
        <w:t xml:space="preserve">A. The Foundation: What the Integrated System Was</w:t>
      </w:r>
    </w:p>
    <w:p>
      <w:pPr>
        <w:spacing w:before="120" w:after="120"/>
        <w:jc w:val="both"/>
      </w:pPr>
      <w:r>
        <w:rPr>
          <w:rFonts w:ascii="Arial" w:cs="Arial" w:eastAsia="Arial" w:hAnsi="Arial"/>
          <w:b/>
          <w:bCs/>
          <w:sz w:val="22"/>
          <w:szCs w:val="22"/>
        </w:rPr>
        <w:t xml:space="preserve">5.</w:t>
      </w:r>
      <w:r>
        <w:rPr>
          <w:rFonts w:ascii="Arial" w:cs="Arial" w:eastAsia="Arial" w:hAnsi="Arial"/>
          <w:sz w:val="22"/>
          <w:szCs w:val="22"/>
        </w:rPr>
        <w:t xml:space="preserve">  The Respondents' group of entities operated an integrated automated accounting and e-commerce infrastructure that I personally designed and built together with the late Ms. Kayla Pretorius, who was murdered on 13 July 2023. This infrastructure comprised:</w:t>
      </w:r>
    </w:p>
    <w:p>
      <w:pPr>
        <w:spacing w:before="120" w:after="120"/>
        <w:jc w:val="both"/>
      </w:pPr>
      <w:r>
        <w:rPr>
          <w:rFonts w:ascii="Arial" w:cs="Arial" w:eastAsia="Arial" w:hAnsi="Arial"/>
          <w:b/>
          <w:bCs/>
          <w:sz w:val="22"/>
          <w:szCs w:val="22"/>
        </w:rPr>
        <w:t xml:space="preserve">5.1</w:t>
      </w:r>
      <w:r>
        <w:rPr>
          <w:rFonts w:ascii="Arial" w:cs="Arial" w:eastAsia="Arial" w:hAnsi="Arial"/>
          <w:sz w:val="22"/>
          <w:szCs w:val="22"/>
        </w:rPr>
        <w:t xml:space="preserve">  A Shopify Plus e-commerce platform through which distributor and customer orders were received, processed, and tracked across 37 jurisdictions;</w:t>
      </w:r>
    </w:p>
    <w:p>
      <w:pPr>
        <w:spacing w:before="120" w:after="120"/>
        <w:jc w:val="both"/>
      </w:pPr>
      <w:r>
        <w:rPr>
          <w:rFonts w:ascii="Arial" w:cs="Arial" w:eastAsia="Arial" w:hAnsi="Arial"/>
          <w:b/>
          <w:bCs/>
          <w:sz w:val="22"/>
          <w:szCs w:val="22"/>
        </w:rPr>
        <w:t xml:space="preserve">5.2</w:t>
      </w:r>
      <w:r>
        <w:rPr>
          <w:rFonts w:ascii="Arial" w:cs="Arial" w:eastAsia="Arial" w:hAnsi="Arial"/>
          <w:sz w:val="22"/>
          <w:szCs w:val="22"/>
        </w:rPr>
        <w:t xml:space="preserve">  API integrations between Shopify and The Courier Guy, enabling automated waybill generation, shipment creation, and fulfillment;</w:t>
      </w:r>
    </w:p>
    <w:p>
      <w:pPr>
        <w:spacing w:before="120" w:after="120"/>
        <w:jc w:val="both"/>
      </w:pPr>
      <w:r>
        <w:rPr>
          <w:rFonts w:ascii="Arial" w:cs="Arial" w:eastAsia="Arial" w:hAnsi="Arial"/>
          <w:b/>
          <w:bCs/>
          <w:sz w:val="22"/>
          <w:szCs w:val="22"/>
        </w:rPr>
        <w:t xml:space="preserve">5.3</w:t>
      </w:r>
      <w:r>
        <w:rPr>
          <w:rFonts w:ascii="Arial" w:cs="Arial" w:eastAsia="Arial" w:hAnsi="Arial"/>
          <w:sz w:val="22"/>
          <w:szCs w:val="22"/>
        </w:rPr>
        <w:t xml:space="preserve">  API integrations between the Shopify platform and the group's Sage Pastel accounting system, linked via email addresses under the </w:t>
      </w:r>
      <w:r>
        <w:rPr>
          <w:rFonts w:ascii="Arial" w:cs="Arial" w:eastAsia="Arial" w:hAnsi="Arial"/>
          <w:b/>
          <w:bCs/>
          <w:sz w:val="22"/>
          <w:szCs w:val="22"/>
        </w:rPr>
        <w:t xml:space="preserve">rzo.io</w:t>
      </w:r>
      <w:r>
        <w:rPr>
          <w:rFonts w:ascii="Arial" w:cs="Arial" w:eastAsia="Arial" w:hAnsi="Arial"/>
          <w:sz w:val="22"/>
          <w:szCs w:val="22"/>
        </w:rPr>
        <w:t xml:space="preserve"> domain — enabling automated invoice synchronisation: when an order was placed on Shopify, a corresponding invoice was automatically created in Sage without manual intervention;</w:t>
      </w:r>
    </w:p>
    <w:p>
      <w:pPr>
        <w:spacing w:before="120" w:after="120"/>
        <w:jc w:val="both"/>
      </w:pPr>
      <w:r>
        <w:rPr>
          <w:rFonts w:ascii="Arial" w:cs="Arial" w:eastAsia="Arial" w:hAnsi="Arial"/>
          <w:b/>
          <w:bCs/>
          <w:sz w:val="22"/>
          <w:szCs w:val="22"/>
        </w:rPr>
        <w:t xml:space="preserve">5.4</w:t>
      </w:r>
      <w:r>
        <w:rPr>
          <w:rFonts w:ascii="Arial" w:cs="Arial" w:eastAsia="Arial" w:hAnsi="Arial"/>
          <w:sz w:val="22"/>
          <w:szCs w:val="22"/>
        </w:rPr>
        <w:t xml:space="preserve">  A unified customer communication system operating through the </w:t>
      </w:r>
      <w:r>
        <w:rPr>
          <w:rFonts w:ascii="Arial" w:cs="Arial" w:eastAsia="Arial" w:hAnsi="Arial"/>
          <w:b/>
          <w:bCs/>
          <w:sz w:val="22"/>
          <w:szCs w:val="22"/>
        </w:rPr>
        <w:t xml:space="preserve">regima.zone</w:t>
      </w:r>
      <w:r>
        <w:rPr>
          <w:rFonts w:ascii="Arial" w:cs="Arial" w:eastAsia="Arial" w:hAnsi="Arial"/>
          <w:sz w:val="22"/>
          <w:szCs w:val="22"/>
        </w:rPr>
        <w:t xml:space="preserve"> domain, owned by the group.</w:t>
      </w:r>
    </w:p>
    <w:p>
      <w:pPr>
        <w:spacing w:before="120" w:after="120"/>
        <w:jc w:val="both"/>
      </w:pPr>
      <w:r>
        <w:rPr>
          <w:rFonts w:ascii="Arial" w:cs="Arial" w:eastAsia="Arial" w:hAnsi="Arial"/>
          <w:b/>
          <w:bCs/>
          <w:sz w:val="22"/>
          <w:szCs w:val="22"/>
        </w:rPr>
        <w:t xml:space="preserve">6.</w:t>
      </w:r>
      <w:r>
        <w:rPr>
          <w:rFonts w:ascii="Arial" w:cs="Arial" w:eastAsia="Arial" w:hAnsi="Arial"/>
          <w:sz w:val="22"/>
          <w:szCs w:val="22"/>
        </w:rPr>
        <w:t xml:space="preserve">  This architecture is critical to understanding what follows: </w:t>
      </w:r>
      <w:r>
        <w:rPr>
          <w:rFonts w:ascii="Arial" w:cs="Arial" w:eastAsia="Arial" w:hAnsi="Arial"/>
          <w:b/>
          <w:bCs/>
          <w:sz w:val="22"/>
          <w:szCs w:val="22"/>
        </w:rPr>
        <w:t xml:space="preserve">the Sage accounting system was not a standalone invoicing tool. It was the downstream terminus of an automated chain that began on Shopify.</w:t>
      </w:r>
      <w:r>
        <w:rPr>
          <w:rFonts w:ascii="Arial" w:cs="Arial" w:eastAsia="Arial" w:hAnsi="Arial"/>
          <w:sz w:val="22"/>
          <w:szCs w:val="22"/>
        </w:rPr>
        <w:t xml:space="preserve"> When the chain was severed, Sage received no automated invoice data and the manual production of historical invoices became impossible — not because of any refusal or negligence by the Second Respondent, but because the </w:t>
      </w:r>
      <w:r>
        <w:rPr>
          <w:rFonts w:ascii="Arial" w:cs="Arial" w:eastAsia="Arial" w:hAnsi="Arial"/>
          <w:i/>
          <w:iCs/>
          <w:sz w:val="22"/>
          <w:szCs w:val="22"/>
        </w:rPr>
        <w:t xml:space="preserve">data was no longer being generated in the first place.</w:t>
      </w:r>
    </w:p>
    <w:p>
      <w:pPr>
        <w:spacing w:before="160" w:after="120"/>
      </w:pPr>
      <w:r>
        <w:rPr>
          <w:rFonts w:ascii="Arial" w:cs="Arial" w:eastAsia="Arial" w:hAnsi="Arial"/>
          <w:b/>
          <w:bCs/>
          <w:color w:val="2E4057"/>
          <w:sz w:val="23"/>
          <w:szCs w:val="23"/>
        </w:rPr>
        <w:t xml:space="preserve">B. The Predicate Crime: The Sage Affidavit of 8 July 2024</w:t>
      </w:r>
    </w:p>
    <w:p>
      <w:pPr>
        <w:spacing w:before="120" w:after="120"/>
        <w:jc w:val="both"/>
      </w:pPr>
      <w:r>
        <w:rPr>
          <w:rFonts w:ascii="Arial" w:cs="Arial" w:eastAsia="Arial" w:hAnsi="Arial"/>
          <w:b/>
          <w:bCs/>
          <w:sz w:val="22"/>
          <w:szCs w:val="22"/>
        </w:rPr>
        <w:t xml:space="preserve">7.</w:t>
      </w:r>
      <w:r>
        <w:rPr>
          <w:rFonts w:ascii="Arial" w:cs="Arial" w:eastAsia="Arial" w:hAnsi="Arial"/>
          <w:sz w:val="22"/>
          <w:szCs w:val="22"/>
        </w:rPr>
        <w:t xml:space="preserve">  On </w:t>
      </w:r>
      <w:r>
        <w:rPr>
          <w:rFonts w:ascii="Arial" w:cs="Arial" w:eastAsia="Arial" w:hAnsi="Arial"/>
          <w:b/>
          <w:bCs/>
          <w:sz w:val="22"/>
          <w:szCs w:val="22"/>
        </w:rPr>
        <w:t xml:space="preserve">8 July 2024</w:t>
      </w:r>
      <w:r>
        <w:rPr>
          <w:rFonts w:ascii="Arial" w:cs="Arial" w:eastAsia="Arial" w:hAnsi="Arial"/>
          <w:sz w:val="22"/>
          <w:szCs w:val="22"/>
        </w:rPr>
        <w:t xml:space="preserve"> — thirteen months before the interdict was filed — the Applicant, Mr. P.A. Faucitt, swore an affidavit to Sage, the accounting software provider, to transfer the Sage administrator account from the credentials associated with the late Ms. Kayla Pretorius to his own account. This transfer: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Fact</w:t>
            </w:r>
          </w:p>
        </w:tc>
        <w:tc>
          <w:tcPr>
            <w:tcW w:type="dxa" w:w="6026"/>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Peter's sworn affidavit concealed the existence of two co-directors</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Perjury to a third party — the same pattern as the founding affidavit</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board resolution was passed authorising the transfer</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Breach of fiduciary duty (s76(3) Companies Act 71 of 2008)</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Daniel Faucitt (who built the integrations) was not informed</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Ensured that API degradation would go undiagnosed for 13 months</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Admin was transferred away from Kayla's rzo.io-authenticated profile</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Broke the API authentication chain that depended on rzo.io credentials</w:t>
            </w:r>
          </w:p>
        </w:tc>
      </w:tr>
    </w:tbl>
    <w:p>
      <w:pPr>
        <w:spacing w:before="120" w:after="120"/>
        <w:jc w:val="both"/>
      </w:pPr>
      <w:r>
        <w:rPr>
          <w:rFonts w:ascii="Arial" w:cs="Arial" w:eastAsia="Arial" w:hAnsi="Arial"/>
          <w:b/>
          <w:bCs/>
          <w:sz w:val="22"/>
          <w:szCs w:val="22"/>
        </w:rPr>
        <w:t xml:space="preserve">Annexure DA-01: </w:t>
      </w:r>
      <w:r>
        <w:rPr>
          <w:rFonts w:ascii="Arial" w:cs="Arial" w:eastAsia="Arial" w:hAnsi="Arial"/>
          <w:sz w:val="22"/>
          <w:szCs w:val="22"/>
        </w:rPr>
        <w:t xml:space="preserve">Sage Transfer Form and Sworn Affidavit dated 8 July 2024 (exhibit RWD-002-A)</w:t>
      </w:r>
    </w:p>
    <w:p>
      <w:pPr>
        <w:spacing w:before="120" w:after="120"/>
        <w:jc w:val="both"/>
      </w:pPr>
      <w:r>
        <w:rPr>
          <w:rFonts w:ascii="Arial" w:cs="Arial" w:eastAsia="Arial" w:hAnsi="Arial"/>
          <w:b/>
          <w:bCs/>
          <w:sz w:val="22"/>
          <w:szCs w:val="22"/>
        </w:rPr>
        <w:t xml:space="preserve">8.</w:t>
      </w:r>
      <w:r>
        <w:rPr>
          <w:rFonts w:ascii="Arial" w:cs="Arial" w:eastAsia="Arial" w:hAnsi="Arial"/>
          <w:sz w:val="22"/>
          <w:szCs w:val="22"/>
        </w:rPr>
        <w:t xml:space="preserve">  The affidavit sworn by the Applicant to Sage on 8 July 2024 is accordingly a </w:t>
      </w:r>
      <w:r>
        <w:rPr>
          <w:rFonts w:ascii="Arial" w:cs="Arial" w:eastAsia="Arial" w:hAnsi="Arial"/>
          <w:b/>
          <w:bCs/>
          <w:sz w:val="22"/>
          <w:szCs w:val="22"/>
        </w:rPr>
        <w:t xml:space="preserve">second perjured affidavit</w:t>
      </w:r>
      <w:r>
        <w:rPr>
          <w:rFonts w:ascii="Arial" w:cs="Arial" w:eastAsia="Arial" w:hAnsi="Arial"/>
          <w:sz w:val="22"/>
          <w:szCs w:val="22"/>
        </w:rPr>
        <w:t xml:space="preserve"> — predating the founding affidavit by 13 months and establishing a pattern of sworn misrepresentation to institutions to obtain unauthorised administrative control. The Applicant swore to Sage that he was the appropriate person to administer the accounts without disclosing that two co-directors existed. I was one of those co-directors. I was not consulted. I was not informed.</w:t>
      </w:r>
    </w:p>
    <w:p>
      <w:pPr>
        <w:spacing w:before="160" w:after="120"/>
      </w:pPr>
      <w:r>
        <w:rPr>
          <w:rFonts w:ascii="Arial" w:cs="Arial" w:eastAsia="Arial" w:hAnsi="Arial"/>
          <w:b/>
          <w:bCs/>
          <w:color w:val="2E4057"/>
          <w:sz w:val="23"/>
          <w:szCs w:val="23"/>
        </w:rPr>
        <w:t xml:space="preserve">C. The Causal Consequence: How the API Chain Was Broken</w:t>
      </w:r>
    </w:p>
    <w:p>
      <w:pPr>
        <w:spacing w:before="120" w:after="120"/>
        <w:jc w:val="both"/>
      </w:pPr>
      <w:r>
        <w:rPr>
          <w:rFonts w:ascii="Arial" w:cs="Arial" w:eastAsia="Arial" w:hAnsi="Arial"/>
          <w:b/>
          <w:bCs/>
          <w:sz w:val="22"/>
          <w:szCs w:val="22"/>
        </w:rPr>
        <w:t xml:space="preserve">9.</w:t>
      </w:r>
      <w:r>
        <w:rPr>
          <w:rFonts w:ascii="Arial" w:cs="Arial" w:eastAsia="Arial" w:hAnsi="Arial"/>
          <w:sz w:val="22"/>
          <w:szCs w:val="22"/>
        </w:rPr>
        <w:t xml:space="preserve">  The API integrations I had constructed — linking Shopify to Sage for automated invoice synchronisation — were authenticated via the </w:t>
      </w:r>
      <w:r>
        <w:rPr>
          <w:rFonts w:ascii="Arial" w:cs="Arial" w:eastAsia="Arial" w:hAnsi="Arial"/>
          <w:b/>
          <w:bCs/>
          <w:sz w:val="22"/>
          <w:szCs w:val="22"/>
        </w:rPr>
        <w:t xml:space="preserve">rzo.io</w:t>
      </w:r>
      <w:r>
        <w:rPr>
          <w:rFonts w:ascii="Arial" w:cs="Arial" w:eastAsia="Arial" w:hAnsi="Arial"/>
          <w:sz w:val="22"/>
          <w:szCs w:val="22"/>
        </w:rPr>
        <w:t xml:space="preserve"> domain. Ms. Kayla Pretorius, as the original Sage administrator, had set up these integrations using her rzo.io-authenticated profile. When the Applicant transferred Sage administration to his own account on 8 July 2024, the following occurred: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526"/>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Technical Consequence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Immediately post-transfer</w:t>
            </w:r>
          </w:p>
        </w:tc>
        <w:tc>
          <w:tcPr>
            <w:tcW w:type="dxa" w:w="6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Sage API tokens linked to the rzo.io-authenticated administrator profile became invalid. The Shopify→Sage automated invoice sync began to fail silently.</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Aug 2024 – Apr 2025 (13 months)</w:t>
            </w:r>
          </w:p>
        </w:tc>
        <w:tc>
          <w:tcPr>
            <w:tcW w:type="dxa" w:w="6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Neither the Applicant nor Ms Farrar disclosed the admin switch or its consequences to either co-director. API degradation accumulated invisibly.</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2025</w:t>
            </w:r>
          </w:p>
        </w:tc>
        <w:tc>
          <w:tcPr>
            <w:tcW w:type="dxa" w:w="6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Shopify audit trails deleted by Ms Farrar on 22 May 2025. This destroyed the evidence of the period during which the automated sync had been failing.</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July 2025 onwards</w:t>
            </w:r>
          </w:p>
        </w:tc>
        <w:tc>
          <w:tcPr>
            <w:tcW w:type="dxa" w:w="6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Sage subscription was allowed to expire on 23 July 2025, making even manual access to the accounting records impossible.</w:t>
            </w:r>
          </w:p>
        </w:tc>
      </w:tr>
    </w:tbl>
    <w:p>
      <w:pPr>
        <w:spacing w:before="120" w:after="120"/>
        <w:jc w:val="both"/>
      </w:pPr>
      <w:r>
        <w:rPr>
          <w:rFonts w:ascii="Arial" w:cs="Arial" w:eastAsia="Arial" w:hAnsi="Arial"/>
          <w:b/>
          <w:bCs/>
          <w:sz w:val="22"/>
          <w:szCs w:val="22"/>
        </w:rPr>
        <w:t xml:space="preserve">10.</w:t>
      </w:r>
      <w:r>
        <w:rPr>
          <w:rFonts w:ascii="Arial" w:cs="Arial" w:eastAsia="Arial" w:hAnsi="Arial"/>
          <w:sz w:val="22"/>
          <w:szCs w:val="22"/>
        </w:rPr>
        <w:t xml:space="preserve">  The causal chain is direct and provable: </w:t>
      </w:r>
      <w:r>
        <w:rPr>
          <w:rFonts w:ascii="Arial" w:cs="Arial" w:eastAsia="Arial" w:hAnsi="Arial"/>
          <w:b/>
          <w:bCs/>
          <w:sz w:val="22"/>
          <w:szCs w:val="22"/>
        </w:rPr>
        <w:t xml:space="preserve">The Applicant's Sage affidavit of 8 July 2024 severed the rzo.io authentication chain → automated invoice sync ceased → when invoices were demanded in the founding affidavit proceedings, the Second Respondent could not retrieve what was no longer being generated.</w:t>
      </w:r>
      <w:r>
        <w:rPr>
          <w:rFonts w:ascii="Arial" w:cs="Arial" w:eastAsia="Arial" w:hAnsi="Arial"/>
          <w:sz w:val="22"/>
          <w:szCs w:val="22"/>
        </w:rPr>
        <w:t xml:space="preserve"> The Applicant created the precise technical impossibility he then weaponised.</w:t>
      </w:r>
    </w:p>
    <w:p>
      <w:pPr>
        <w:spacing w:before="160" w:after="120"/>
      </w:pPr>
      <w:r>
        <w:rPr>
          <w:rFonts w:ascii="Arial" w:cs="Arial" w:eastAsia="Arial" w:hAnsi="Arial"/>
          <w:b/>
          <w:bCs/>
          <w:color w:val="2E4057"/>
          <w:sz w:val="23"/>
          <w:szCs w:val="23"/>
        </w:rPr>
        <w:t xml:space="preserve">D. The Document Forgery: Kayla Pretorius's Estate and the Forged Sage Document</w:t>
      </w:r>
    </w:p>
    <w:p>
      <w:pPr>
        <w:spacing w:before="120" w:after="120"/>
        <w:jc w:val="both"/>
      </w:pPr>
      <w:r>
        <w:rPr>
          <w:rFonts w:ascii="Arial" w:cs="Arial" w:eastAsia="Arial" w:hAnsi="Arial"/>
          <w:b/>
          <w:bCs/>
          <w:sz w:val="22"/>
          <w:szCs w:val="22"/>
        </w:rPr>
        <w:t xml:space="preserve">11.</w:t>
      </w:r>
      <w:r>
        <w:rPr>
          <w:rFonts w:ascii="Arial" w:cs="Arial" w:eastAsia="Arial" w:hAnsi="Arial"/>
          <w:sz w:val="22"/>
          <w:szCs w:val="22"/>
        </w:rPr>
        <w:t xml:space="preserve">  Ms Kayla Pretorius was </w:t>
      </w:r>
      <w:r>
        <w:rPr>
          <w:rFonts w:ascii="Arial" w:cs="Arial" w:eastAsia="Arial" w:hAnsi="Arial"/>
          <w:b/>
          <w:bCs/>
          <w:sz w:val="22"/>
          <w:szCs w:val="22"/>
        </w:rPr>
        <w:t xml:space="preserve">murdered on 13 July 2023</w:t>
      </w:r>
      <w:r>
        <w:rPr>
          <w:rFonts w:ascii="Arial" w:cs="Arial" w:eastAsia="Arial" w:hAnsi="Arial"/>
          <w:sz w:val="22"/>
          <w:szCs w:val="22"/>
        </w:rPr>
        <w:t xml:space="preserve"> — approximately twelve months before the Sage admin transfer affidavit was sworn. As the original Sage administrator, her credentials and identity were associated with the rzo.io domain integrations. The administration of her estate would ordinarily have been the responsibility of her executor.</w:t>
      </w:r>
    </w:p>
    <w:p>
      <w:pPr>
        <w:spacing w:before="120" w:after="120"/>
        <w:jc w:val="both"/>
      </w:pPr>
      <w:r>
        <w:rPr>
          <w:rFonts w:ascii="Arial" w:cs="Arial" w:eastAsia="Arial" w:hAnsi="Arial"/>
          <w:b/>
          <w:bCs/>
          <w:sz w:val="22"/>
          <w:szCs w:val="22"/>
        </w:rPr>
        <w:t xml:space="preserve">12.</w:t>
      </w:r>
      <w:r>
        <w:rPr>
          <w:rFonts w:ascii="Arial" w:cs="Arial" w:eastAsia="Arial" w:hAnsi="Arial"/>
          <w:sz w:val="22"/>
          <w:szCs w:val="22"/>
        </w:rPr>
        <w:t xml:space="preserve">  Instead of engaging with Kayla's estate and executor for the lawful transfer of her administrative profile, the Applicant and Ms Rynette Farrar jointly executed the following:</w:t>
      </w:r>
    </w:p>
    <w:p>
      <w:pPr>
        <w:spacing w:before="120" w:after="120"/>
        <w:jc w:val="both"/>
      </w:pPr>
      <w:r>
        <w:rPr>
          <w:rFonts w:ascii="Arial" w:cs="Arial" w:eastAsia="Arial" w:hAnsi="Arial"/>
          <w:b/>
          <w:bCs/>
          <w:sz w:val="22"/>
          <w:szCs w:val="22"/>
        </w:rPr>
        <w:t xml:space="preserve">12.1</w:t>
      </w:r>
      <w:r>
        <w:rPr>
          <w:rFonts w:ascii="Arial" w:cs="Arial" w:eastAsia="Arial" w:hAnsi="Arial"/>
          <w:sz w:val="22"/>
          <w:szCs w:val="22"/>
        </w:rPr>
        <w:t xml:space="preserve">  </w:t>
      </w:r>
      <w:r>
        <w:rPr>
          <w:rFonts w:ascii="Arial" w:cs="Arial" w:eastAsia="Arial" w:hAnsi="Arial"/>
          <w:b/>
          <w:bCs/>
          <w:sz w:val="22"/>
          <w:szCs w:val="22"/>
        </w:rPr>
        <w:t xml:space="preserve">A forged Sage transfer document</w:t>
      </w:r>
      <w:r>
        <w:rPr>
          <w:rFonts w:ascii="Arial" w:cs="Arial" w:eastAsia="Arial" w:hAnsi="Arial"/>
          <w:sz w:val="22"/>
          <w:szCs w:val="22"/>
        </w:rPr>
        <w:t xml:space="preserve"> — Ms Farrar swore or co-executed the affidavit to Sage, signing on behalf of Peter Faucitt </w:t>
      </w:r>
      <w:r>
        <w:rPr>
          <w:rFonts w:ascii="Arial" w:cs="Arial" w:eastAsia="Arial" w:hAnsi="Arial"/>
          <w:i/>
          <w:iCs/>
          <w:sz w:val="22"/>
          <w:szCs w:val="22"/>
        </w:rPr>
        <w:t xml:space="preserve">(pp Peter)</w:t>
      </w:r>
      <w:r>
        <w:rPr>
          <w:rFonts w:ascii="Arial" w:cs="Arial" w:eastAsia="Arial" w:hAnsi="Arial"/>
          <w:sz w:val="22"/>
          <w:szCs w:val="22"/>
        </w:rPr>
        <w:t xml:space="preserve">, as she had done with other documents (including the trust amendment). Neither the executor of Kayla's estate nor any co-director authorised or was consulted in this process. The document presented to Sage concealed the existence of co-directors and misrepresented Peter as the authorised administrator.</w:t>
      </w:r>
    </w:p>
    <w:p>
      <w:pPr>
        <w:spacing w:before="120" w:after="120"/>
        <w:jc w:val="both"/>
      </w:pPr>
      <w:r>
        <w:rPr>
          <w:rFonts w:ascii="Arial" w:cs="Arial" w:eastAsia="Arial" w:hAnsi="Arial"/>
          <w:b/>
          <w:bCs/>
          <w:sz w:val="22"/>
          <w:szCs w:val="22"/>
        </w:rPr>
        <w:t xml:space="preserve">12.2</w:t>
      </w:r>
      <w:r>
        <w:rPr>
          <w:rFonts w:ascii="Arial" w:cs="Arial" w:eastAsia="Arial" w:hAnsi="Arial"/>
          <w:sz w:val="22"/>
          <w:szCs w:val="22"/>
        </w:rPr>
        <w:t xml:space="preserve">  </w:t>
      </w:r>
      <w:r>
        <w:rPr>
          <w:rFonts w:ascii="Arial" w:cs="Arial" w:eastAsia="Arial" w:hAnsi="Arial"/>
          <w:b/>
          <w:bCs/>
          <w:sz w:val="22"/>
          <w:szCs w:val="22"/>
        </w:rPr>
        <w:t xml:space="preserve">A sworn affidavit attached to the fraudulent document</w:t>
      </w:r>
      <w:r>
        <w:rPr>
          <w:rFonts w:ascii="Arial" w:cs="Arial" w:eastAsia="Arial" w:hAnsi="Arial"/>
          <w:sz w:val="22"/>
          <w:szCs w:val="22"/>
        </w:rPr>
        <w:t xml:space="preserve"> — the transfer was accompanied by a sworn affidavit (Annexure DA-01) that constitutes a stand-alone act of perjury: the affiant declared facts known to be false, specifically that the administrator change was authorised and that there were no other parties with an interest in the administrative access.</w:t>
      </w:r>
    </w:p>
    <w:p>
      <w:pPr>
        <w:spacing w:before="120" w:after="120"/>
        <w:jc w:val="both"/>
      </w:pPr>
      <w:r>
        <w:rPr>
          <w:rFonts w:ascii="Arial" w:cs="Arial" w:eastAsia="Arial" w:hAnsi="Arial"/>
          <w:b/>
          <w:bCs/>
          <w:sz w:val="22"/>
          <w:szCs w:val="22"/>
        </w:rPr>
        <w:t xml:space="preserve">13.</w:t>
      </w:r>
      <w:r>
        <w:rPr>
          <w:rFonts w:ascii="Arial" w:cs="Arial" w:eastAsia="Arial" w:hAnsi="Arial"/>
          <w:sz w:val="22"/>
          <w:szCs w:val="22"/>
        </w:rPr>
        <w:t xml:space="preserve">  By appropriating the Sage profile associated with a murdered employee's credentials — without consulting her estate, her executor, or the co-directors — the Applicant and Ms Farrar committed </w:t>
      </w:r>
      <w:r>
        <w:rPr>
          <w:rFonts w:ascii="Arial" w:cs="Arial" w:eastAsia="Arial" w:hAnsi="Arial"/>
          <w:b/>
          <w:bCs/>
          <w:sz w:val="22"/>
          <w:szCs w:val="22"/>
        </w:rPr>
        <w:t xml:space="preserve">identity theft from an estate</w:t>
      </w:r>
      <w:r>
        <w:rPr>
          <w:rFonts w:ascii="Arial" w:cs="Arial" w:eastAsia="Arial" w:hAnsi="Arial"/>
          <w:sz w:val="22"/>
          <w:szCs w:val="22"/>
        </w:rPr>
        <w:t xml:space="preserve">, a criminal offence under both the Cybercrimes Act 19 of 2020 (section 2 — unlawful access to a computer system) and the common law.</w:t>
      </w:r>
    </w:p>
    <w:p>
      <w:pPr>
        <w:spacing w:before="120" w:after="120"/>
        <w:jc w:val="both"/>
      </w:pPr>
      <w:r>
        <w:rPr>
          <w:rFonts w:ascii="Arial" w:cs="Arial" w:eastAsia="Arial" w:hAnsi="Arial"/>
          <w:b/>
          <w:bCs/>
          <w:sz w:val="22"/>
          <w:szCs w:val="22"/>
        </w:rPr>
        <w:t xml:space="preserve">Annexure DA-01: </w:t>
      </w:r>
      <w:r>
        <w:rPr>
          <w:rFonts w:ascii="Arial" w:cs="Arial" w:eastAsia="Arial" w:hAnsi="Arial"/>
          <w:sz w:val="22"/>
          <w:szCs w:val="22"/>
        </w:rPr>
        <w:t xml:space="preserve">Sage Transfer Form and Affidavit (8 July 2024)</w:t>
      </w:r>
    </w:p>
    <w:p>
      <w:pPr>
        <w:spacing w:before="120" w:after="120"/>
        <w:jc w:val="both"/>
      </w:pPr>
      <w:r>
        <w:rPr>
          <w:rFonts w:ascii="Arial" w:cs="Arial" w:eastAsia="Arial" w:hAnsi="Arial"/>
          <w:b/>
          <w:bCs/>
          <w:sz w:val="22"/>
          <w:szCs w:val="22"/>
        </w:rPr>
        <w:t xml:space="preserve">Annexure DA-02: </w:t>
      </w:r>
      <w:r>
        <w:rPr>
          <w:rFonts w:ascii="Arial" w:cs="Arial" w:eastAsia="Arial" w:hAnsi="Arial"/>
          <w:sz w:val="22"/>
          <w:szCs w:val="22"/>
        </w:rPr>
        <w:t xml:space="preserve">Sage Email Chain confirming Invited User Switch — Peter email address (documents dated 9 and 10 July 2024)</w:t>
      </w:r>
    </w:p>
    <w:p>
      <w:pPr>
        <w:spacing w:before="120" w:after="120"/>
        <w:jc w:val="both"/>
      </w:pPr>
      <w:r>
        <w:rPr>
          <w:rFonts w:ascii="Arial" w:cs="Arial" w:eastAsia="Arial" w:hAnsi="Arial"/>
          <w:b/>
          <w:bCs/>
          <w:sz w:val="22"/>
          <w:szCs w:val="22"/>
        </w:rPr>
        <w:t xml:space="preserve">Annexure DA-03: </w:t>
      </w:r>
      <w:r>
        <w:rPr>
          <w:rFonts w:ascii="Arial" w:cs="Arial" w:eastAsia="Arial" w:hAnsi="Arial"/>
          <w:sz w:val="22"/>
          <w:szCs w:val="22"/>
        </w:rPr>
        <w:t xml:space="preserve">Sage Account Records (August 2025 and June 2025) showing administrator change history</w:t>
      </w:r>
    </w:p>
    <w:p>
      <w:pPr>
        <w:spacing w:before="160" w:after="120"/>
      </w:pPr>
      <w:r>
        <w:rPr>
          <w:rFonts w:ascii="Arial" w:cs="Arial" w:eastAsia="Arial" w:hAnsi="Arial"/>
          <w:b/>
          <w:bCs/>
          <w:color w:val="2E4057"/>
          <w:sz w:val="23"/>
          <w:szCs w:val="23"/>
        </w:rPr>
        <w:t xml:space="preserve">E. The Bantjies Foreknowledge — Informed in June 2025, Signed Supporting Affidavit in August 2025</w:t>
      </w:r>
    </w:p>
    <w:p>
      <w:pPr>
        <w:spacing w:before="120" w:after="120"/>
        <w:jc w:val="both"/>
      </w:pPr>
      <w:r>
        <w:rPr>
          <w:rFonts w:ascii="Arial" w:cs="Arial" w:eastAsia="Arial" w:hAnsi="Arial"/>
          <w:b/>
          <w:bCs/>
          <w:sz w:val="22"/>
          <w:szCs w:val="22"/>
        </w:rPr>
        <w:t xml:space="preserve">14.</w:t>
      </w:r>
      <w:r>
        <w:rPr>
          <w:rFonts w:ascii="Arial" w:cs="Arial" w:eastAsia="Arial" w:hAnsi="Arial"/>
          <w:sz w:val="22"/>
          <w:szCs w:val="22"/>
        </w:rPr>
        <w:t xml:space="preserve">  Mr. D.J. Bantjies, the external accountant who swore the supporting affidavit to the interdict application, was </w:t>
      </w:r>
      <w:r>
        <w:rPr>
          <w:rFonts w:ascii="Arial" w:cs="Arial" w:eastAsia="Arial" w:hAnsi="Arial"/>
          <w:b/>
          <w:bCs/>
          <w:sz w:val="22"/>
          <w:szCs w:val="22"/>
        </w:rPr>
        <w:t xml:space="preserve">informed in June 2025</w:t>
      </w:r>
      <w:r>
        <w:rPr>
          <w:rFonts w:ascii="Arial" w:cs="Arial" w:eastAsia="Arial" w:hAnsi="Arial"/>
          <w:sz w:val="22"/>
          <w:szCs w:val="22"/>
        </w:rPr>
        <w:t xml:space="preserve"> — two months before swearing his affidavit — of the Sage predicate crime and its consequences for the entities' accounting systems. Specifically: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Communication to Bantjies</w:t>
            </w:r>
          </w:p>
        </w:tc>
        <w:tc>
          <w:tcPr>
            <w:tcW w:type="dxa" w:w="2526"/>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Bantjies' Response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June 2025</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Second Respondent sent comprehensive fraud report to Bantjies including documentation of API infrastructure destruction and Sage system disruption</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action taken</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 June 2025</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Bantjies informed of criminal matters including Kayla's murder, R1.8M+ owed to ReZonance, and infrastructure sabotage</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Dismissed audit request</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13 August 2025</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Bantjies swore supporting affidavit to interdict application — making no disclosure of the API destruction, the Sage predicate crime, or the infrastructure sabotage he had been informed of two months earlier</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Supporting affidavit constitutes perjury by omission</w:t>
            </w:r>
          </w:p>
        </w:tc>
      </w:tr>
    </w:tbl>
    <w:p>
      <w:pPr>
        <w:spacing w:before="120" w:after="120"/>
        <w:jc w:val="both"/>
      </w:pPr>
      <w:r>
        <w:rPr>
          <w:rFonts w:ascii="Arial" w:cs="Arial" w:eastAsia="Arial" w:hAnsi="Arial"/>
          <w:b/>
          <w:bCs/>
          <w:sz w:val="22"/>
          <w:szCs w:val="22"/>
        </w:rPr>
        <w:t xml:space="preserve">15.</w:t>
      </w:r>
      <w:r>
        <w:rPr>
          <w:rFonts w:ascii="Arial" w:cs="Arial" w:eastAsia="Arial" w:hAnsi="Arial"/>
          <w:sz w:val="22"/>
          <w:szCs w:val="22"/>
        </w:rPr>
        <w:t xml:space="preserve">  Bantjies' supporting affidavit is a two-page document devoid of substantive accounting analysis. He offered no independent assessment of the entities' financial position, no reference to the infrastructure destruction he had been informed of, and no disclosure of his own conflicts of interest (simultaneously Trustee of the Faucitt Family Trust, external accountant, and commissioner of his own oath). </w:t>
      </w:r>
      <w:r>
        <w:rPr>
          <w:rFonts w:ascii="Arial" w:cs="Arial" w:eastAsia="Arial" w:hAnsi="Arial"/>
          <w:b/>
          <w:bCs/>
          <w:sz w:val="22"/>
          <w:szCs w:val="22"/>
        </w:rPr>
        <w:t xml:space="preserve">A supporting affiant who has been informed of criminal misconduct and infrastructure sabotage, yet swears an affidavit that omits these facts and supports the interdict, is a participant in the fraud on the court.</w:t>
      </w:r>
      <w:r>
        <w:rPr>
          <w:rFonts w:ascii="Arial" w:cs="Arial" w:eastAsia="Arial" w:hAnsi="Arial"/>
          <w:sz w:val="22"/>
          <w:szCs w:val="22"/>
        </w:rPr>
        <w:t xml:space="preserve"> Bantjies' foreknowledge is proved beyond reasonable doubt: he received the fraud reports, dismissed them, and then certified the Applicant's false assertions.</w:t>
      </w:r>
    </w:p>
    <w:p>
      <w:pPr>
        <w:spacing w:before="160" w:after="120"/>
      </w:pPr>
      <w:r>
        <w:rPr>
          <w:rFonts w:ascii="Arial" w:cs="Arial" w:eastAsia="Arial" w:hAnsi="Arial"/>
          <w:b/>
          <w:bCs/>
          <w:color w:val="2E4057"/>
          <w:sz w:val="23"/>
          <w:szCs w:val="23"/>
        </w:rPr>
        <w:t xml:space="preserve">F. The Frame: How the Predicate Crime Became the Founding Charge</w:t>
      </w:r>
    </w:p>
    <w:p>
      <w:pPr>
        <w:spacing w:before="120" w:after="120"/>
        <w:jc w:val="both"/>
      </w:pPr>
      <w:r>
        <w:rPr>
          <w:rFonts w:ascii="Arial" w:cs="Arial" w:eastAsia="Arial" w:hAnsi="Arial"/>
          <w:b/>
          <w:bCs/>
          <w:sz w:val="22"/>
          <w:szCs w:val="22"/>
        </w:rPr>
        <w:t xml:space="preserve">16.</w:t>
      </w:r>
      <w:r>
        <w:rPr>
          <w:rFonts w:ascii="Arial" w:cs="Arial" w:eastAsia="Arial" w:hAnsi="Arial"/>
          <w:sz w:val="22"/>
          <w:szCs w:val="22"/>
        </w:rPr>
        <w:t xml:space="preserve">  The founding affidavit's central accusation against the Second Respondent — that he </w:t>
      </w:r>
      <w:r>
        <w:rPr>
          <w:rFonts w:ascii="Arial" w:cs="Arial" w:eastAsia="Arial" w:hAnsi="Arial"/>
          <w:i/>
          <w:iCs/>
          <w:sz w:val="22"/>
          <w:szCs w:val="22"/>
        </w:rPr>
        <w:t xml:space="preserve">refused</w:t>
      </w:r>
      <w:r>
        <w:rPr>
          <w:rFonts w:ascii="Arial" w:cs="Arial" w:eastAsia="Arial" w:hAnsi="Arial"/>
          <w:sz w:val="22"/>
          <w:szCs w:val="22"/>
        </w:rPr>
        <w:t xml:space="preserve"> to produce invoices — is directly attributable to the Applicant's own predicate crime. The sequence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763"/>
        <w:gridCol w:w="2763"/>
      </w:tblGrid>
      <w:tr>
        <w:tc>
          <w:tcPr>
            <w:tcW w:type="dxa" w:w="2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763"/>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Actually Happened</w:t>
            </w:r>
          </w:p>
        </w:tc>
        <w:tc>
          <w:tcPr>
            <w:tcW w:type="dxa" w:w="2763"/>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How It Was Characterised in the Founding Affidavit</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 Jul 2024</w:t>
            </w:r>
          </w:p>
        </w:tc>
        <w:tc>
          <w:tcPr>
            <w:tcW w:type="dxa" w:w="376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Applicant/Farrar execute Sage admin switch via forged document, severing rzo.io API authentication chain</w:t>
            </w:r>
          </w:p>
        </w:tc>
        <w:tc>
          <w:tcPr>
            <w:tcW w:type="dxa" w:w="276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disclosed</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Aug 2024 onwards</w:t>
            </w:r>
          </w:p>
        </w:tc>
        <w:tc>
          <w:tcPr>
            <w:tcW w:type="dxa" w:w="376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Automated Shopify→Sage invoice sync ceases. No invoices are generated in Sage for Shopify orders.</w:t>
            </w:r>
          </w:p>
        </w:tc>
        <w:tc>
          <w:tcPr>
            <w:tcW w:type="dxa" w:w="276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disclosed</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22 May 2025</w:t>
            </w:r>
          </w:p>
        </w:tc>
        <w:tc>
          <w:tcPr>
            <w:tcW w:type="dxa" w:w="376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Farrar deletes Shopify audit trails — eliminating the source data that would have allowed reconstruction of missing invoices</w:t>
            </w:r>
          </w:p>
        </w:tc>
        <w:tc>
          <w:tcPr>
            <w:tcW w:type="dxa" w:w="276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disclosed</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July 2025 onwards</w:t>
            </w:r>
          </w:p>
        </w:tc>
        <w:tc>
          <w:tcPr>
            <w:tcW w:type="dxa" w:w="376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Sage subscription expires (23 Jul 2025). Second Respondent loses even manual access to Sage.</w:t>
            </w:r>
          </w:p>
        </w:tc>
        <w:tc>
          <w:tcPr>
            <w:tcW w:type="dxa" w:w="276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 disclosed</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Post-August 2025</w:t>
            </w:r>
          </w:p>
        </w:tc>
        <w:tc>
          <w:tcPr>
            <w:tcW w:type="dxa" w:w="376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Respondents demanded to produce invoices from a system to which access had been deliberately blocked and from an automated chain that had been deliberately severed 13 months earlier</w:t>
            </w:r>
          </w:p>
        </w:tc>
        <w:tc>
          <w:tcPr>
            <w:tcW w:type="dxa" w:w="276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Second Respondent 'refused' to produce invoices</w:t>
            </w:r>
          </w:p>
        </w:tc>
      </w:tr>
    </w:tbl>
    <w:p>
      <w:pPr>
        <w:spacing w:before="120" w:after="120"/>
        <w:jc w:val="both"/>
      </w:pPr>
      <w:r>
        <w:rPr>
          <w:rFonts w:ascii="Arial" w:cs="Arial" w:eastAsia="Arial" w:hAnsi="Arial"/>
          <w:b/>
          <w:bCs/>
          <w:sz w:val="22"/>
          <w:szCs w:val="22"/>
        </w:rPr>
        <w:t xml:space="preserve">17.</w:t>
      </w:r>
      <w:r>
        <w:rPr>
          <w:rFonts w:ascii="Arial" w:cs="Arial" w:eastAsia="Arial" w:hAnsi="Arial"/>
          <w:sz w:val="22"/>
          <w:szCs w:val="22"/>
        </w:rPr>
        <w:t xml:space="preserve">  The Applicant's attorneys, Elliott Attorneys, confirmed in correspondence dated 20 January 2026 that requests had been made for invoices. What those attorneys were not told — because the Applicant concealed it from them as he concealed it from this Court — was that the invoice production system had been </w:t>
      </w:r>
      <w:r>
        <w:rPr>
          <w:rFonts w:ascii="Arial" w:cs="Arial" w:eastAsia="Arial" w:hAnsi="Arial"/>
          <w:b/>
          <w:bCs/>
          <w:sz w:val="22"/>
          <w:szCs w:val="22"/>
        </w:rPr>
        <w:t xml:space="preserve">deliberately destroyed 13 months before those requests were made</w:t>
      </w:r>
      <w:r>
        <w:rPr>
          <w:rFonts w:ascii="Arial" w:cs="Arial" w:eastAsia="Arial" w:hAnsi="Arial"/>
          <w:sz w:val="22"/>
          <w:szCs w:val="22"/>
        </w:rPr>
        <w:t xml:space="preserve">, by the Applicant's own unauthorised Sage affidavit.</w:t>
      </w:r>
    </w:p>
    <w:p>
      <w:pPr>
        <w:spacing w:before="120" w:after="120"/>
        <w:jc w:val="both"/>
      </w:pPr>
      <w:r>
        <w:rPr>
          <w:rFonts w:ascii="Arial" w:cs="Arial" w:eastAsia="Arial" w:hAnsi="Arial"/>
          <w:b/>
          <w:bCs/>
          <w:sz w:val="22"/>
          <w:szCs w:val="22"/>
        </w:rPr>
        <w:t xml:space="preserve">18.</w:t>
      </w:r>
      <w:r>
        <w:rPr>
          <w:rFonts w:ascii="Arial" w:cs="Arial" w:eastAsia="Arial" w:hAnsi="Arial"/>
          <w:sz w:val="22"/>
          <w:szCs w:val="22"/>
        </w:rPr>
        <w:t xml:space="preserve">  This is not a case of alleged mismanagement. This is a case in which the Applicant committed a predicate crime (the Sage affidavit of 8 July 2024), concealed its consequences for 13 months, then used those very consequences as the factual basis for an ex parte interdict that he obtained through a second perjured affidavit (the founding affidavit of 13 August 2025). </w:t>
      </w:r>
      <w:r>
        <w:rPr>
          <w:rFonts w:ascii="Arial" w:cs="Arial" w:eastAsia="Arial" w:hAnsi="Arial"/>
          <w:b/>
          <w:bCs/>
          <w:sz w:val="22"/>
          <w:szCs w:val="22"/>
        </w:rPr>
        <w:t xml:space="preserve">The interdict rests entirely on the consequences of the Applicant's own fraud.</w:t>
      </w:r>
    </w:p>
    <w:p>
      <w:pPr>
        <w:spacing w:before="160" w:after="120"/>
      </w:pPr>
      <w:r>
        <w:rPr>
          <w:rFonts w:ascii="Arial" w:cs="Arial" w:eastAsia="Arial" w:hAnsi="Arial"/>
          <w:b/>
          <w:bCs/>
          <w:color w:val="2E4057"/>
          <w:sz w:val="23"/>
          <w:szCs w:val="23"/>
        </w:rPr>
        <w:t xml:space="preserve">G. Why This New Evidence Renders the Interdict Void Ab Initio</w:t>
      </w:r>
    </w:p>
    <w:p>
      <w:pPr>
        <w:spacing w:before="120" w:after="120"/>
        <w:jc w:val="both"/>
      </w:pPr>
      <w:r>
        <w:rPr>
          <w:rFonts w:ascii="Arial" w:cs="Arial" w:eastAsia="Arial" w:hAnsi="Arial"/>
          <w:b/>
          <w:bCs/>
          <w:sz w:val="22"/>
          <w:szCs w:val="22"/>
        </w:rPr>
        <w:t xml:space="preserve">19.</w:t>
      </w:r>
      <w:r>
        <w:rPr>
          <w:rFonts w:ascii="Arial" w:cs="Arial" w:eastAsia="Arial" w:hAnsi="Arial"/>
          <w:sz w:val="22"/>
          <w:szCs w:val="22"/>
        </w:rPr>
        <w:t xml:space="preserve">  The Sage predicate crime evidence constitutes </w:t>
      </w:r>
      <w:r>
        <w:rPr>
          <w:rFonts w:ascii="Arial" w:cs="Arial" w:eastAsia="Arial" w:hAnsi="Arial"/>
          <w:b/>
          <w:bCs/>
          <w:sz w:val="22"/>
          <w:szCs w:val="22"/>
        </w:rPr>
        <w:t xml:space="preserve">additional and independent grounds</w:t>
      </w:r>
      <w:r>
        <w:rPr>
          <w:rFonts w:ascii="Arial" w:cs="Arial" w:eastAsia="Arial" w:hAnsi="Arial"/>
          <w:sz w:val="22"/>
          <w:szCs w:val="22"/>
        </w:rPr>
        <w:t xml:space="preserve"> for void ab initio in addition to the SOLE mandate perjury already established in the First Respondent's answering affidavit. Specifically:</w:t>
      </w:r>
    </w:p>
    <w:p>
      <w:pPr>
        <w:spacing w:before="120" w:after="120"/>
        <w:jc w:val="both"/>
      </w:pPr>
      <w:r>
        <w:rPr>
          <w:rFonts w:ascii="Arial" w:cs="Arial" w:eastAsia="Arial" w:hAnsi="Arial"/>
          <w:b/>
          <w:bCs/>
          <w:sz w:val="22"/>
          <w:szCs w:val="22"/>
        </w:rPr>
        <w:t xml:space="preserve">19.1</w:t>
      </w:r>
      <w:r>
        <w:rPr>
          <w:rFonts w:ascii="Arial" w:cs="Arial" w:eastAsia="Arial" w:hAnsi="Arial"/>
          <w:sz w:val="22"/>
          <w:szCs w:val="22"/>
        </w:rPr>
        <w:t xml:space="preserve">  </w:t>
      </w:r>
      <w:r>
        <w:rPr>
          <w:rFonts w:ascii="Arial" w:cs="Arial" w:eastAsia="Arial" w:hAnsi="Arial"/>
          <w:b/>
          <w:bCs/>
          <w:sz w:val="22"/>
          <w:szCs w:val="22"/>
        </w:rPr>
        <w:t xml:space="preserve">Material non-disclosure:</w:t>
      </w:r>
      <w:r>
        <w:rPr>
          <w:rFonts w:ascii="Arial" w:cs="Arial" w:eastAsia="Arial" w:hAnsi="Arial"/>
          <w:sz w:val="22"/>
          <w:szCs w:val="22"/>
        </w:rPr>
        <w:t xml:space="preserve"> The Applicant concealed from the Court (a) the Sage affidavit of 8 July 2024; (b) the API chain destruction that resulted; (c) the forged nature of the Sage transfer documentation; (d) the fact that the 'invoice refusal' was technically impossible due to system destruction. Had any of these facts been disclosed, the Court would not have granted the order.</w:t>
      </w:r>
    </w:p>
    <w:p>
      <w:pPr>
        <w:spacing w:before="120" w:after="120"/>
        <w:jc w:val="both"/>
      </w:pPr>
      <w:r>
        <w:rPr>
          <w:rFonts w:ascii="Arial" w:cs="Arial" w:eastAsia="Arial" w:hAnsi="Arial"/>
          <w:b/>
          <w:bCs/>
          <w:sz w:val="22"/>
          <w:szCs w:val="22"/>
        </w:rPr>
        <w:t xml:space="preserve">19.2</w:t>
      </w:r>
      <w:r>
        <w:rPr>
          <w:rFonts w:ascii="Arial" w:cs="Arial" w:eastAsia="Arial" w:hAnsi="Arial"/>
          <w:sz w:val="22"/>
          <w:szCs w:val="22"/>
        </w:rPr>
        <w:t xml:space="preserve">  </w:t>
      </w:r>
      <w:r>
        <w:rPr>
          <w:rFonts w:ascii="Arial" w:cs="Arial" w:eastAsia="Arial" w:hAnsi="Arial"/>
          <w:b/>
          <w:bCs/>
          <w:sz w:val="22"/>
          <w:szCs w:val="22"/>
        </w:rPr>
        <w:t xml:space="preserve">Perjury with foreknowledge:</w:t>
      </w:r>
      <w:r>
        <w:rPr>
          <w:rFonts w:ascii="Arial" w:cs="Arial" w:eastAsia="Arial" w:hAnsi="Arial"/>
          <w:sz w:val="22"/>
          <w:szCs w:val="22"/>
        </w:rPr>
        <w:t xml:space="preserve"> The Applicant swore in his founding affidavit that the Second Respondent refused to produce invoices, while knowing that he had himself destroyed the system through which invoices were generated, 13 months earlier. He possessed, at the time of swearing the affidavit, full knowledge that invoice production was impossible because of his own act.</w:t>
      </w:r>
    </w:p>
    <w:p>
      <w:pPr>
        <w:spacing w:before="120" w:after="120"/>
        <w:jc w:val="both"/>
      </w:pPr>
      <w:r>
        <w:rPr>
          <w:rFonts w:ascii="Arial" w:cs="Arial" w:eastAsia="Arial" w:hAnsi="Arial"/>
          <w:b/>
          <w:bCs/>
          <w:sz w:val="22"/>
          <w:szCs w:val="22"/>
        </w:rPr>
        <w:t xml:space="preserve">19.3</w:t>
      </w:r>
      <w:r>
        <w:rPr>
          <w:rFonts w:ascii="Arial" w:cs="Arial" w:eastAsia="Arial" w:hAnsi="Arial"/>
          <w:sz w:val="22"/>
          <w:szCs w:val="22"/>
        </w:rPr>
        <w:t xml:space="preserve">  </w:t>
      </w:r>
      <w:r>
        <w:rPr>
          <w:rFonts w:ascii="Arial" w:cs="Arial" w:eastAsia="Arial" w:hAnsi="Arial"/>
          <w:b/>
          <w:bCs/>
          <w:sz w:val="22"/>
          <w:szCs w:val="22"/>
        </w:rPr>
        <w:t xml:space="preserve">Fabrication of evidence:</w:t>
      </w:r>
      <w:r>
        <w:rPr>
          <w:rFonts w:ascii="Arial" w:cs="Arial" w:eastAsia="Arial" w:hAnsi="Arial"/>
          <w:sz w:val="22"/>
          <w:szCs w:val="22"/>
        </w:rPr>
        <w:t xml:space="preserve"> The Sage transfer document and associated affidavit were executed without board authorisation and by a person (Farrar, signing 'pp Peter') without appropriate authority. The document presented to Sage was a fabrication in that it misrepresented the administrative authority structure.</w:t>
      </w:r>
    </w:p>
    <w:p>
      <w:pPr>
        <w:spacing w:before="120" w:after="120"/>
        <w:jc w:val="both"/>
      </w:pPr>
      <w:r>
        <w:rPr>
          <w:rFonts w:ascii="Arial" w:cs="Arial" w:eastAsia="Arial" w:hAnsi="Arial"/>
          <w:b/>
          <w:bCs/>
          <w:sz w:val="22"/>
          <w:szCs w:val="22"/>
        </w:rPr>
        <w:t xml:space="preserve">19.4</w:t>
      </w:r>
      <w:r>
        <w:rPr>
          <w:rFonts w:ascii="Arial" w:cs="Arial" w:eastAsia="Arial" w:hAnsi="Arial"/>
          <w:sz w:val="22"/>
          <w:szCs w:val="22"/>
        </w:rPr>
        <w:t xml:space="preserve">  </w:t>
      </w:r>
      <w:r>
        <w:rPr>
          <w:rFonts w:ascii="Arial" w:cs="Arial" w:eastAsia="Arial" w:hAnsi="Arial"/>
          <w:b/>
          <w:bCs/>
          <w:sz w:val="22"/>
          <w:szCs w:val="22"/>
        </w:rPr>
        <w:t xml:space="preserve">Weaponised litigation:</w:t>
      </w:r>
      <w:r>
        <w:rPr>
          <w:rFonts w:ascii="Arial" w:cs="Arial" w:eastAsia="Arial" w:hAnsi="Arial"/>
          <w:sz w:val="22"/>
          <w:szCs w:val="22"/>
        </w:rPr>
        <w:t xml:space="preserve"> The Applicant destroyed the invoice production system (predicate crime), concealed the destruction (13 months), and then sued the Second Respondent for the consequences (the interdict), creating a circumstance in which the victim of the crime is prosecuted for its effects. This is the archetype of weaponised litigation.</w:t>
      </w:r>
    </w:p>
    <w:p>
      <w:pPr>
        <w:pBdr>
          <w:bottom w:val="single" w:color="2E4057" w:sz="6" w:space="1"/>
        </w:pBdr>
        <w:spacing w:before="240" w:after="240"/>
      </w:pPr>
    </w:p>
    <w:p>
      <w:pPr>
        <w:pStyle w:val="Heading2"/>
        <w:spacing w:before="240" w:after="120"/>
      </w:pPr>
      <w:r>
        <w:rPr>
          <w:rFonts w:ascii="Arial" w:cs="Arial" w:eastAsia="Arial" w:hAnsi="Arial"/>
          <w:b/>
          <w:bCs/>
          <w:color w:val="2E4057"/>
          <w:sz w:val="24"/>
          <w:szCs w:val="24"/>
        </w:rPr>
        <w:t xml:space="preserve">PART C: THE SUPPORTING AFFIDAVIT FRAUD — BANTJIES</w:t>
      </w:r>
    </w:p>
    <w:p>
      <w:pPr>
        <w:spacing w:before="120" w:after="120"/>
        <w:jc w:val="both"/>
      </w:pPr>
      <w:r>
        <w:rPr>
          <w:rFonts w:ascii="Arial" w:cs="Arial" w:eastAsia="Arial" w:hAnsi="Arial"/>
          <w:b/>
          <w:bCs/>
          <w:sz w:val="22"/>
          <w:szCs w:val="22"/>
        </w:rPr>
        <w:t xml:space="preserve">20.</w:t>
      </w:r>
      <w:r>
        <w:rPr>
          <w:rFonts w:ascii="Arial" w:cs="Arial" w:eastAsia="Arial" w:hAnsi="Arial"/>
          <w:sz w:val="22"/>
          <w:szCs w:val="22"/>
        </w:rPr>
        <w:t xml:space="preserve">  The founding affidavit is supported by the confirmatory affidavit of Mr. D.J. Bantjies, sworn on 13 August 2025 and certified by Bantjies himself as Commissioner of Oaths — an act of self-commissioning that is itself an irregularity. The supporting affidavit is fraudulent for the following additional reasons:</w:t>
      </w:r>
    </w:p>
    <w:p>
      <w:pPr>
        <w:spacing w:before="120" w:after="120"/>
        <w:jc w:val="both"/>
      </w:pPr>
      <w:r>
        <w:rPr>
          <w:rFonts w:ascii="Arial" w:cs="Arial" w:eastAsia="Arial" w:hAnsi="Arial"/>
          <w:b/>
          <w:bCs/>
          <w:sz w:val="22"/>
          <w:szCs w:val="22"/>
        </w:rPr>
        <w:t xml:space="preserve">20.1</w:t>
      </w:r>
      <w:r>
        <w:rPr>
          <w:rFonts w:ascii="Arial" w:cs="Arial" w:eastAsia="Arial" w:hAnsi="Arial"/>
          <w:sz w:val="22"/>
          <w:szCs w:val="22"/>
        </w:rPr>
        <w:t xml:space="preserve">  Bantjies was informed of the Sage predicate crime and API destruction in June 2025 (paragraph 14 above). He made no disclosure of this in his supporting affidavit.</w:t>
      </w:r>
    </w:p>
    <w:p>
      <w:pPr>
        <w:spacing w:before="120" w:after="120"/>
        <w:jc w:val="both"/>
      </w:pPr>
      <w:r>
        <w:rPr>
          <w:rFonts w:ascii="Arial" w:cs="Arial" w:eastAsia="Arial" w:hAnsi="Arial"/>
          <w:b/>
          <w:bCs/>
          <w:sz w:val="22"/>
          <w:szCs w:val="22"/>
        </w:rPr>
        <w:t xml:space="preserve">20.2</w:t>
      </w:r>
      <w:r>
        <w:rPr>
          <w:rFonts w:ascii="Arial" w:cs="Arial" w:eastAsia="Arial" w:hAnsi="Arial"/>
          <w:sz w:val="22"/>
          <w:szCs w:val="22"/>
        </w:rPr>
        <w:t xml:space="preserve">  Bantjies has five concurrent conflicts of interest: (a) Trustee of the Faucitt Family Trust; (b) external accountant of the group entities; (c) commissioner of his own oath; (d) CFO of George Group (Ketoni insider with a R18.685M transaction relationship with the entities); (e) distribution controller with access to entity accounting records. None of these conflicts were disclosed.</w:t>
      </w:r>
    </w:p>
    <w:p>
      <w:pPr>
        <w:spacing w:before="120" w:after="120"/>
        <w:jc w:val="both"/>
      </w:pPr>
      <w:r>
        <w:rPr>
          <w:rFonts w:ascii="Arial" w:cs="Arial" w:eastAsia="Arial" w:hAnsi="Arial"/>
          <w:b/>
          <w:bCs/>
          <w:sz w:val="22"/>
          <w:szCs w:val="22"/>
        </w:rPr>
        <w:t xml:space="preserve">20.3</w:t>
      </w:r>
      <w:r>
        <w:rPr>
          <w:rFonts w:ascii="Arial" w:cs="Arial" w:eastAsia="Arial" w:hAnsi="Arial"/>
          <w:sz w:val="22"/>
          <w:szCs w:val="22"/>
        </w:rPr>
        <w:t xml:space="preserve">  Bantjies' affidavit contains no independent accounting analysis, no verification of the Applicant's financial claims, and no reference to the R5.4M stock adjustment fraud, the R3.14M+ revenue diversion, or the systematic infrastructure destruction — all of which were in Bantjies' knowledge at the time he swore the affidavit.</w:t>
      </w:r>
    </w:p>
    <w:p>
      <w:pPr>
        <w:pBdr>
          <w:bottom w:val="single" w:color="2E4057" w:sz="6" w:space="1"/>
        </w:pBdr>
        <w:spacing w:before="240" w:after="240"/>
      </w:pPr>
    </w:p>
    <w:p>
      <w:pPr>
        <w:pStyle w:val="Heading2"/>
        <w:spacing w:before="240" w:after="120"/>
      </w:pPr>
      <w:r>
        <w:rPr>
          <w:rFonts w:ascii="Arial" w:cs="Arial" w:eastAsia="Arial" w:hAnsi="Arial"/>
          <w:b/>
          <w:bCs/>
          <w:color w:val="2E4057"/>
          <w:sz w:val="24"/>
          <w:szCs w:val="24"/>
        </w:rPr>
        <w:t xml:space="preserve">PART D: MATERIAL NON-DISCLOSURE — WHAT THE COURT WAS NOT TOLD</w:t>
      </w:r>
    </w:p>
    <w:p>
      <w:pPr>
        <w:spacing w:before="120" w:after="120"/>
        <w:jc w:val="both"/>
      </w:pPr>
      <w:r>
        <w:rPr>
          <w:rFonts w:ascii="Arial" w:cs="Arial" w:eastAsia="Arial" w:hAnsi="Arial"/>
          <w:b/>
          <w:bCs/>
          <w:sz w:val="22"/>
          <w:szCs w:val="22"/>
        </w:rPr>
        <w:t xml:space="preserve">21.</w:t>
      </w:r>
      <w:r>
        <w:rPr>
          <w:rFonts w:ascii="Arial" w:cs="Arial" w:eastAsia="Arial" w:hAnsi="Arial"/>
          <w:sz w:val="22"/>
          <w:szCs w:val="22"/>
        </w:rPr>
        <w:t xml:space="preserve">  The Applicant concealed every fact that would have defeated his application. In addition to the Sage predicate crime facts established in Part B2 above, the following were withheld from the Court:</w:t>
      </w:r>
    </w:p>
    <w:p>
      <w:pPr>
        <w:spacing w:before="120" w:after="120"/>
        <w:jc w:val="both"/>
      </w:pPr>
      <w:r>
        <w:rPr>
          <w:rFonts w:ascii="Arial" w:cs="Arial" w:eastAsia="Arial" w:hAnsi="Arial"/>
          <w:b/>
          <w:bCs/>
          <w:sz w:val="22"/>
          <w:szCs w:val="22"/>
        </w:rPr>
        <w:t xml:space="preserve">22. The SOLE authority banking mandate.</w:t>
      </w:r>
      <w:r>
        <w:rPr>
          <w:rFonts w:ascii="Arial" w:cs="Arial" w:eastAsia="Arial" w:hAnsi="Arial"/>
          <w:sz w:val="22"/>
          <w:szCs w:val="22"/>
        </w:rPr>
        <w:t xml:space="preserve">  FNB's FICA/KYC document of 1 June 2021 and FNB Legal's letter of 18 June 2025, both confirming that each director may 'act independently of each other.' Had this been disclosed, the Court would have known that no transaction by the Second Respondent could be 'unauthorised.' </w:t>
      </w:r>
      <w:r>
        <w:rPr>
          <w:rFonts w:ascii="Arial" w:cs="Arial" w:eastAsia="Arial" w:hAnsi="Arial"/>
          <w:b/>
          <w:bCs/>
          <w:sz w:val="22"/>
          <w:szCs w:val="22"/>
        </w:rPr>
        <w:t xml:space="preserve">Annexure JF-BS1.</w:t>
      </w:r>
    </w:p>
    <w:p>
      <w:pPr>
        <w:spacing w:before="120" w:after="120"/>
        <w:jc w:val="both"/>
      </w:pPr>
      <w:r>
        <w:rPr>
          <w:rFonts w:ascii="Arial" w:cs="Arial" w:eastAsia="Arial" w:hAnsi="Arial"/>
          <w:b/>
          <w:bCs/>
          <w:sz w:val="22"/>
          <w:szCs w:val="22"/>
        </w:rPr>
        <w:t xml:space="preserve">23. The secret card cancellation of 7 June 2025.</w:t>
      </w:r>
      <w:r>
        <w:rPr>
          <w:rFonts w:ascii="Arial" w:cs="Arial" w:eastAsia="Arial" w:hAnsi="Arial"/>
          <w:sz w:val="22"/>
          <w:szCs w:val="22"/>
        </w:rPr>
        <w:t xml:space="preserve">  The Applicant's own letter to FNB of 17 June 2025 confirms he directed that no replacement cards be issued. Had this been disclosed, the Court would have known that the Applicant created the financial crisis he then relied upon. </w:t>
      </w:r>
      <w:r>
        <w:rPr>
          <w:rFonts w:ascii="Arial" w:cs="Arial" w:eastAsia="Arial" w:hAnsi="Arial"/>
          <w:b/>
          <w:bCs/>
          <w:sz w:val="22"/>
          <w:szCs w:val="22"/>
        </w:rPr>
        <w:t xml:space="preserve">Annexure SF10.</w:t>
      </w:r>
    </w:p>
    <w:p>
      <w:pPr>
        <w:spacing w:before="120" w:after="120"/>
        <w:jc w:val="both"/>
      </w:pPr>
      <w:r>
        <w:rPr>
          <w:rFonts w:ascii="Arial" w:cs="Arial" w:eastAsia="Arial" w:hAnsi="Arial"/>
          <w:b/>
          <w:bCs/>
          <w:sz w:val="22"/>
          <w:szCs w:val="22"/>
        </w:rPr>
        <w:t xml:space="preserve">24. The R520,000 in personal expenditure by the Second Respondent.</w:t>
      </w:r>
      <w:r>
        <w:rPr>
          <w:rFonts w:ascii="Arial" w:cs="Arial" w:eastAsia="Arial" w:hAnsi="Arial"/>
          <w:sz w:val="22"/>
          <w:szCs w:val="22"/>
        </w:rPr>
        <w:t xml:space="preserve">  Five months of personal bank statements recording systematic transfers from savings to cover company operations after the card cancellation. The R500,000 transfer was a partial reimbursement, not a gift. </w:t>
      </w:r>
      <w:r>
        <w:rPr>
          <w:rFonts w:ascii="Arial" w:cs="Arial" w:eastAsia="Arial" w:hAnsi="Arial"/>
          <w:b/>
          <w:bCs/>
          <w:sz w:val="22"/>
          <w:szCs w:val="22"/>
        </w:rPr>
        <w:t xml:space="preserve">Annexure JF04.</w:t>
      </w:r>
    </w:p>
    <w:p>
      <w:pPr>
        <w:spacing w:before="120" w:after="120"/>
        <w:jc w:val="both"/>
      </w:pPr>
      <w:r>
        <w:rPr>
          <w:rFonts w:ascii="Arial" w:cs="Arial" w:eastAsia="Arial" w:hAnsi="Arial"/>
          <w:b/>
          <w:bCs/>
          <w:sz w:val="22"/>
          <w:szCs w:val="22"/>
        </w:rPr>
        <w:t xml:space="preserve">25. The Sage predicate crime of 8 July 2024.</w:t>
      </w:r>
      <w:r>
        <w:rPr>
          <w:rFonts w:ascii="Arial" w:cs="Arial" w:eastAsia="Arial" w:hAnsi="Arial"/>
          <w:sz w:val="22"/>
          <w:szCs w:val="22"/>
        </w:rPr>
        <w:t xml:space="preserve">  As detailed in Part B2 above: the Sage admin switch via forged document, the API chain destruction, the 13-month concealment, and the technical impossibility of invoice production that resulted. </w:t>
      </w:r>
      <w:r>
        <w:rPr>
          <w:rFonts w:ascii="Arial" w:cs="Arial" w:eastAsia="Arial" w:hAnsi="Arial"/>
          <w:b/>
          <w:bCs/>
          <w:sz w:val="22"/>
          <w:szCs w:val="22"/>
        </w:rPr>
        <w:t xml:space="preserve">Annexures DA-01, DA-02, DA-03.</w:t>
      </w:r>
    </w:p>
    <w:p>
      <w:pPr>
        <w:spacing w:before="120" w:after="120"/>
        <w:jc w:val="both"/>
      </w:pPr>
      <w:r>
        <w:rPr>
          <w:rFonts w:ascii="Arial" w:cs="Arial" w:eastAsia="Arial" w:hAnsi="Arial"/>
          <w:b/>
          <w:bCs/>
          <w:sz w:val="22"/>
          <w:szCs w:val="22"/>
        </w:rPr>
        <w:t xml:space="preserve">26. The 'Main Trustee' agreement backdated 41 days.</w:t>
      </w:r>
      <w:r>
        <w:rPr>
          <w:rFonts w:ascii="Arial" w:cs="Arial" w:eastAsia="Arial" w:hAnsi="Arial"/>
          <w:sz w:val="22"/>
          <w:szCs w:val="22"/>
        </w:rPr>
        <w:t xml:space="preserve">  Executed 11 August 2025, backdated to 1 July 2025, constituting forgery. </w:t>
      </w:r>
      <w:r>
        <w:rPr>
          <w:rFonts w:ascii="Arial" w:cs="Arial" w:eastAsia="Arial" w:hAnsi="Arial"/>
          <w:b/>
          <w:bCs/>
          <w:sz w:val="22"/>
          <w:szCs w:val="22"/>
        </w:rPr>
        <w:t xml:space="preserve">Annexure JF08.</w:t>
      </w:r>
    </w:p>
    <w:p>
      <w:pPr>
        <w:spacing w:before="120" w:after="120"/>
        <w:jc w:val="both"/>
      </w:pPr>
      <w:r>
        <w:rPr>
          <w:rFonts w:ascii="Arial" w:cs="Arial" w:eastAsia="Arial" w:hAnsi="Arial"/>
          <w:b/>
          <w:bCs/>
          <w:sz w:val="22"/>
          <w:szCs w:val="22"/>
        </w:rPr>
        <w:t xml:space="preserve">27. The two-month delay.</w:t>
      </w:r>
      <w:r>
        <w:rPr>
          <w:rFonts w:ascii="Arial" w:cs="Arial" w:eastAsia="Arial" w:hAnsi="Arial"/>
          <w:sz w:val="22"/>
          <w:szCs w:val="22"/>
        </w:rPr>
        <w:t xml:space="preserve">  Alleged irregularities discovered June 2025; interdict filed 19 August 2025. Genuine urgency does not wait two months. The delay was concealed.</w:t>
      </w:r>
    </w:p>
    <w:p>
      <w:pPr>
        <w:pBdr>
          <w:bottom w:val="single" w:color="2E4057" w:sz="6" w:space="1"/>
        </w:pBdr>
        <w:spacing w:before="240" w:after="240"/>
      </w:pPr>
    </w:p>
    <w:p>
      <w:pPr>
        <w:pStyle w:val="Heading2"/>
        <w:spacing w:before="240" w:after="120"/>
      </w:pPr>
      <w:r>
        <w:rPr>
          <w:rFonts w:ascii="Arial" w:cs="Arial" w:eastAsia="Arial" w:hAnsi="Arial"/>
          <w:b/>
          <w:bCs/>
          <w:color w:val="2E4057"/>
          <w:sz w:val="24"/>
          <w:szCs w:val="24"/>
        </w:rPr>
        <w:t xml:space="preserve">PART E: THE CONSEQUENCE — PROOF OF MOTIVE</w:t>
      </w:r>
    </w:p>
    <w:p>
      <w:pPr>
        <w:spacing w:before="120" w:after="120"/>
        <w:jc w:val="both"/>
      </w:pPr>
      <w:r>
        <w:rPr>
          <w:rFonts w:ascii="Arial" w:cs="Arial" w:eastAsia="Arial" w:hAnsi="Arial"/>
          <w:b/>
          <w:bCs/>
          <w:sz w:val="22"/>
          <w:szCs w:val="22"/>
        </w:rPr>
        <w:t xml:space="preserve">28.</w:t>
      </w:r>
      <w:r>
        <w:rPr>
          <w:rFonts w:ascii="Arial" w:cs="Arial" w:eastAsia="Arial" w:hAnsi="Arial"/>
          <w:sz w:val="22"/>
          <w:szCs w:val="22"/>
        </w:rPr>
        <w:t xml:space="preserve">  Within days of obtaining the interdict — an order predicated on concern about a R500,000 transfer — the Applicant extracted the following from the companies' operational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526"/>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Amount Extracted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September 2025</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RWD (Third Respondent)</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 5,164,131.18</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 September 2025</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RST (Fourth Respondent)</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 3,090,000.00</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 September 2025</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Villa Via (Fifth Respondent)</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 1,730,000.00</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 September 2025</w:t>
            </w:r>
          </w:p>
        </w:tc>
        <w:tc>
          <w:tcPr>
            <w:tcW w:type="dxa" w:w="4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SLG (Sixth Respondent)</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 640,000.00</w:t>
            </w:r>
          </w:p>
        </w:tc>
      </w:tr>
      <w:tr>
        <w:tc>
          <w:tcPr>
            <w:tcW w:type="dxa" w:w="200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(8 days)</w:t>
            </w:r>
          </w:p>
        </w:tc>
        <w:tc>
          <w:tcPr>
            <w:tcW w:type="dxa" w:w="450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2526"/>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r>
              <w:rPr>
                <w:rFonts w:ascii="Arial" w:cs="Arial" w:eastAsia="Arial" w:hAnsi="Arial"/>
                <w:b w:val="false"/>
                <w:bCs w:val="false"/>
                <w:color w:val="000000"/>
                <w:sz w:val="20"/>
                <w:szCs w:val="20"/>
              </w:rPr>
              <w:t xml:space="preserve">R 10,624,131.18</w:t>
            </w:r>
          </w:p>
        </w:tc>
      </w:tr>
    </w:tbl>
    <w:p>
      <w:pPr>
        <w:spacing w:before="120" w:after="120"/>
        <w:jc w:val="both"/>
      </w:pPr>
      <w:r>
        <w:rPr>
          <w:rFonts w:ascii="Arial" w:cs="Arial" w:eastAsia="Arial" w:hAnsi="Arial"/>
          <w:b/>
          <w:bCs/>
          <w:sz w:val="22"/>
          <w:szCs w:val="22"/>
        </w:rPr>
        <w:t xml:space="preserve">Annexure JF12.</w:t>
      </w:r>
      <w:r>
        <w:rPr>
          <w:rFonts w:ascii="Arial" w:cs="Arial" w:eastAsia="Arial" w:hAnsi="Arial"/>
          <w:sz w:val="22"/>
          <w:szCs w:val="22"/>
        </w:rPr>
        <w:t xml:space="preserve">  The ratio: the Applicant swore to R500,000 in alleged concern and used the resulting order to extract R10,624,131.18 — a ratio of 21:1.</w:t>
      </w:r>
    </w:p>
    <w:p>
      <w:pPr>
        <w:pBdr>
          <w:bottom w:val="single" w:color="2E4057" w:sz="6" w:space="1"/>
        </w:pBdr>
        <w:spacing w:before="240" w:after="240"/>
      </w:pPr>
    </w:p>
    <w:p>
      <w:pPr>
        <w:pStyle w:val="Heading2"/>
        <w:spacing w:before="240" w:after="120"/>
      </w:pPr>
      <w:r>
        <w:rPr>
          <w:rFonts w:ascii="Arial" w:cs="Arial" w:eastAsia="Arial" w:hAnsi="Arial"/>
          <w:b/>
          <w:bCs/>
          <w:color w:val="2E4057"/>
          <w:sz w:val="24"/>
          <w:szCs w:val="24"/>
        </w:rPr>
        <w:t xml:space="preserve">PART F: THE COMPLETE CAUSAL CHAIN — FROM PREDICATE CRIME TO VOID AB INITIO</w:t>
      </w:r>
    </w:p>
    <w:p>
      <w:pPr>
        <w:spacing w:before="120" w:after="120"/>
        <w:jc w:val="both"/>
      </w:pPr>
      <w:r>
        <w:rPr>
          <w:rFonts w:ascii="Arial" w:cs="Arial" w:eastAsia="Arial" w:hAnsi="Arial"/>
          <w:b/>
          <w:bCs/>
          <w:sz w:val="22"/>
          <w:szCs w:val="22"/>
        </w:rPr>
        <w:t xml:space="preserve">29.</w:t>
      </w:r>
      <w:r>
        <w:rPr>
          <w:rFonts w:ascii="Arial" w:cs="Arial" w:eastAsia="Arial" w:hAnsi="Arial"/>
          <w:sz w:val="22"/>
          <w:szCs w:val="22"/>
        </w:rPr>
        <w:t xml:space="preserve">  The complete chain rendering Part A void ab initio, with the Sage predicate crime now incorporated, is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000"/>
        <w:gridCol w:w="2626"/>
      </w:tblGrid>
      <w:tr>
        <w:tc>
          <w:tcPr>
            <w:tcW w:type="dxa" w:w="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4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The Truth</w:t>
            </w:r>
          </w:p>
        </w:tc>
        <w:tc>
          <w:tcPr>
            <w:tcW w:type="dxa" w:w="2626"/>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Was Concealed</w:t>
            </w:r>
          </w:p>
        </w:tc>
      </w:tr>
      <w:t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 Jul 2024</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Applicant/Farrar swear forged affidavit to Sage to seize admin access from Kayla's estate credentials. API authentication chain broken.</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Concealed from co-directors and from Court</w:t>
            </w:r>
          </w:p>
        </w:tc>
      </w:tr>
      <w:t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Aug 2024 – Apr 2025</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13-month concealment. Invoice sync ceases. System degradation attributed to no one and disclosed to no one.</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Concealed from co-directors and from Court</w:t>
            </w:r>
          </w:p>
        </w:tc>
      </w:tr>
      <w:t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 Jun 2025</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Applicant secretly cancels co-directors' company cards one day after fraud reported to Bantjies.</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Concealed from Court</w:t>
            </w:r>
          </w:p>
        </w:tc>
      </w:tr>
      <w:t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6–10 Jun 2025</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Second Respondent reports fraud to Bantjies. Bantjies dismisses report.</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Concealed from Court; Bantjies' supporting affidavit omits this</w:t>
            </w:r>
          </w:p>
        </w:tc>
      </w:tr>
      <w:t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22 May 2025</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Farrar deletes Shopify audit trails — destroys source data for missing invoices.</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Concealed from Court</w:t>
            </w:r>
          </w:p>
        </w:tc>
      </w:tr>
      <w:t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 Jul 2025</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Sage subscription expires — Second Respondent loses all access to accounting system.</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Concealed from Court</w:t>
            </w:r>
          </w:p>
        </w:tc>
      </w:tr>
      <w:t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 Jul 2025</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Second Respondent, personally insolvent after funding operations, reimburses himself R500,000 under SOLE mandate authority.</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Characterised as 'birthday gift' by Applicant</w:t>
            </w:r>
          </w:p>
        </w:tc>
      </w:tr>
      <w:t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11–19 Aug 2025</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Backdated trust agreement; Bantjies swears false supporting affidavit; ex parte interdict granted.</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Backdating and Bantjies' conflicts concealed</w:t>
            </w:r>
          </w:p>
        </w:tc>
      </w:tr>
      <w:tr>
        <w:tc>
          <w:tcPr>
            <w:tcW w:type="dxa" w:w="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3–11 Sep 2025</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R10,624,131.18 extracted from operational accounts in 8 days.</w:t>
            </w:r>
          </w:p>
        </w:tc>
        <w:tc>
          <w:tcPr>
            <w:tcW w:type="dxa" w:w="2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True purpose of interdict revealed</w:t>
            </w:r>
          </w:p>
        </w:tc>
      </w:tr>
    </w:tbl>
    <w:p>
      <w:pPr>
        <w:pBdr>
          <w:bottom w:val="single" w:color="2E4057" w:sz="6" w:space="1"/>
        </w:pBdr>
        <w:spacing w:before="240" w:after="240"/>
      </w:pPr>
    </w:p>
    <w:p>
      <w:pPr>
        <w:pStyle w:val="Heading2"/>
        <w:spacing w:before="240" w:after="120"/>
      </w:pPr>
      <w:r>
        <w:rPr>
          <w:rFonts w:ascii="Arial" w:cs="Arial" w:eastAsia="Arial" w:hAnsi="Arial"/>
          <w:b/>
          <w:bCs/>
          <w:color w:val="2E4057"/>
          <w:sz w:val="24"/>
          <w:szCs w:val="24"/>
        </w:rPr>
        <w:t xml:space="preserve">PART G: RELIEF SOUGHT</w:t>
      </w:r>
    </w:p>
    <w:p>
      <w:pPr>
        <w:spacing w:before="120" w:after="120"/>
        <w:jc w:val="both"/>
      </w:pPr>
      <w:r>
        <w:rPr>
          <w:rFonts w:ascii="Arial" w:cs="Arial" w:eastAsia="Arial" w:hAnsi="Arial"/>
          <w:b/>
          <w:bCs/>
          <w:sz w:val="22"/>
          <w:szCs w:val="22"/>
        </w:rPr>
        <w:t xml:space="preserve">30.</w:t>
      </w:r>
      <w:r>
        <w:rPr>
          <w:rFonts w:ascii="Arial" w:cs="Arial" w:eastAsia="Arial" w:hAnsi="Arial"/>
          <w:sz w:val="22"/>
          <w:szCs w:val="22"/>
        </w:rPr>
        <w:t xml:space="preserve">  In light of the foregoing, I respectfully pray for an order in the following terms:</w:t>
      </w:r>
    </w:p>
    <w:p>
      <w:pPr>
        <w:spacing w:before="120" w:after="120"/>
        <w:jc w:val="both"/>
      </w:pPr>
      <w:r>
        <w:rPr>
          <w:rFonts w:ascii="Arial" w:cs="Arial" w:eastAsia="Arial" w:hAnsi="Arial"/>
          <w:b/>
          <w:bCs/>
          <w:sz w:val="22"/>
          <w:szCs w:val="22"/>
        </w:rPr>
        <w:t xml:space="preserve">30.1</w:t>
      </w:r>
      <w:r>
        <w:rPr>
          <w:rFonts w:ascii="Arial" w:cs="Arial" w:eastAsia="Arial" w:hAnsi="Arial"/>
          <w:sz w:val="22"/>
          <w:szCs w:val="22"/>
        </w:rPr>
        <w:t xml:space="preserve">  Declaring that Part A of the ex parte interdict granted on 19 August 2025 is and has always been </w:t>
      </w:r>
      <w:r>
        <w:rPr>
          <w:rFonts w:ascii="Arial" w:cs="Arial" w:eastAsia="Arial" w:hAnsi="Arial"/>
          <w:b/>
          <w:bCs/>
          <w:sz w:val="22"/>
          <w:szCs w:val="22"/>
        </w:rPr>
        <w:t xml:space="preserve">void ab initio</w:t>
      </w:r>
      <w:r>
        <w:rPr>
          <w:rFonts w:ascii="Arial" w:cs="Arial" w:eastAsia="Arial" w:hAnsi="Arial"/>
          <w:sz w:val="22"/>
          <w:szCs w:val="22"/>
        </w:rPr>
        <w:t xml:space="preserve">;</w:t>
      </w:r>
    </w:p>
    <w:p>
      <w:pPr>
        <w:spacing w:before="120" w:after="120"/>
        <w:jc w:val="both"/>
      </w:pPr>
      <w:r>
        <w:rPr>
          <w:rFonts w:ascii="Arial" w:cs="Arial" w:eastAsia="Arial" w:hAnsi="Arial"/>
          <w:b/>
          <w:bCs/>
          <w:sz w:val="22"/>
          <w:szCs w:val="22"/>
        </w:rPr>
        <w:t xml:space="preserve">30.2</w:t>
      </w:r>
      <w:r>
        <w:rPr>
          <w:rFonts w:ascii="Arial" w:cs="Arial" w:eastAsia="Arial" w:hAnsi="Arial"/>
          <w:sz w:val="22"/>
          <w:szCs w:val="22"/>
        </w:rPr>
        <w:t xml:space="preserve">  Setting aside Part A of the ex parte interdict with immediate effect;</w:t>
      </w:r>
    </w:p>
    <w:p>
      <w:pPr>
        <w:spacing w:before="120" w:after="120"/>
        <w:jc w:val="both"/>
      </w:pPr>
      <w:r>
        <w:rPr>
          <w:rFonts w:ascii="Arial" w:cs="Arial" w:eastAsia="Arial" w:hAnsi="Arial"/>
          <w:b/>
          <w:bCs/>
          <w:sz w:val="22"/>
          <w:szCs w:val="22"/>
        </w:rPr>
        <w:t xml:space="preserve">30.3</w:t>
      </w:r>
      <w:r>
        <w:rPr>
          <w:rFonts w:ascii="Arial" w:cs="Arial" w:eastAsia="Arial" w:hAnsi="Arial"/>
          <w:sz w:val="22"/>
          <w:szCs w:val="22"/>
        </w:rPr>
        <w:t xml:space="preserve">  Ordering the Applicant to restore all company assets, accounts, and systems to the </w:t>
      </w:r>
      <w:r>
        <w:rPr>
          <w:rFonts w:ascii="Arial" w:cs="Arial" w:eastAsia="Arial" w:hAnsi="Arial"/>
          <w:i/>
          <w:iCs/>
          <w:sz w:val="22"/>
          <w:szCs w:val="22"/>
        </w:rPr>
        <w:t xml:space="preserve">status quo ante</w:t>
      </w:r>
      <w:r>
        <w:rPr>
          <w:rFonts w:ascii="Arial" w:cs="Arial" w:eastAsia="Arial" w:hAnsi="Arial"/>
          <w:sz w:val="22"/>
          <w:szCs w:val="22"/>
        </w:rPr>
        <w:t xml:space="preserve"> — the position immediately prior to the granting of the interdict — within 48 hours of this order;</w:t>
      </w:r>
    </w:p>
    <w:p>
      <w:pPr>
        <w:spacing w:before="120" w:after="120"/>
        <w:jc w:val="both"/>
      </w:pPr>
      <w:r>
        <w:rPr>
          <w:rFonts w:ascii="Arial" w:cs="Arial" w:eastAsia="Arial" w:hAnsi="Arial"/>
          <w:b/>
          <w:bCs/>
          <w:sz w:val="22"/>
          <w:szCs w:val="22"/>
        </w:rPr>
        <w:t xml:space="preserve">30.4</w:t>
      </w:r>
      <w:r>
        <w:rPr>
          <w:rFonts w:ascii="Arial" w:cs="Arial" w:eastAsia="Arial" w:hAnsi="Arial"/>
          <w:sz w:val="22"/>
          <w:szCs w:val="22"/>
        </w:rPr>
        <w:t xml:space="preserve">  Ordering the Applicant to provide, within 10 days, a full accounting of all funds withdrawn, transferred, or otherwise dealt with from the accounts of the Third to Sixth Respondents since 19 August 2025;</w:t>
      </w:r>
    </w:p>
    <w:p>
      <w:pPr>
        <w:spacing w:before="120" w:after="120"/>
        <w:jc w:val="both"/>
      </w:pPr>
      <w:r>
        <w:rPr>
          <w:rFonts w:ascii="Arial" w:cs="Arial" w:eastAsia="Arial" w:hAnsi="Arial"/>
          <w:b/>
          <w:bCs/>
          <w:sz w:val="22"/>
          <w:szCs w:val="22"/>
        </w:rPr>
        <w:t xml:space="preserve">30.5</w:t>
      </w:r>
      <w:r>
        <w:rPr>
          <w:rFonts w:ascii="Arial" w:cs="Arial" w:eastAsia="Arial" w:hAnsi="Arial"/>
          <w:sz w:val="22"/>
          <w:szCs w:val="22"/>
        </w:rPr>
        <w:t xml:space="preserve">  Ordering restoration of the Second Respondent's access to all company accounting systems, including but not limited to the Sage Pastel system, within 24 hours;</w:t>
      </w:r>
    </w:p>
    <w:p>
      <w:pPr>
        <w:spacing w:before="120" w:after="120"/>
        <w:jc w:val="both"/>
      </w:pPr>
      <w:r>
        <w:rPr>
          <w:rFonts w:ascii="Arial" w:cs="Arial" w:eastAsia="Arial" w:hAnsi="Arial"/>
          <w:b/>
          <w:bCs/>
          <w:sz w:val="22"/>
          <w:szCs w:val="22"/>
        </w:rPr>
        <w:t xml:space="preserve">30.6</w:t>
      </w:r>
      <w:r>
        <w:rPr>
          <w:rFonts w:ascii="Arial" w:cs="Arial" w:eastAsia="Arial" w:hAnsi="Arial"/>
          <w:sz w:val="22"/>
          <w:szCs w:val="22"/>
        </w:rPr>
        <w:t xml:space="preserve">  Ordering costs on the scale as between attorney and client, such scale being warranted by the Applicant's proven perjury, fraud on the Court, and the predicate crime of the Sage affidavit;</w:t>
      </w:r>
    </w:p>
    <w:p>
      <w:pPr>
        <w:spacing w:before="120" w:after="120"/>
        <w:jc w:val="both"/>
      </w:pPr>
      <w:r>
        <w:rPr>
          <w:rFonts w:ascii="Arial" w:cs="Arial" w:eastAsia="Arial" w:hAnsi="Arial"/>
          <w:b/>
          <w:bCs/>
          <w:sz w:val="22"/>
          <w:szCs w:val="22"/>
        </w:rPr>
        <w:t xml:space="preserve">30.7</w:t>
      </w:r>
      <w:r>
        <w:rPr>
          <w:rFonts w:ascii="Arial" w:cs="Arial" w:eastAsia="Arial" w:hAnsi="Arial"/>
          <w:sz w:val="22"/>
          <w:szCs w:val="22"/>
        </w:rPr>
        <w:t xml:space="preserve">  Referring the matter to the Director of Public Prosecutions for investigation of perjury (founding and supporting affidavits), fraud (Sage document forgery), defeating the ends of justice, and identity theft under the Cybercrimes Act 19 of 2020;</w:t>
      </w:r>
    </w:p>
    <w:p>
      <w:pPr>
        <w:spacing w:before="120" w:after="120"/>
        <w:jc w:val="both"/>
      </w:pPr>
      <w:r>
        <w:rPr>
          <w:rFonts w:ascii="Arial" w:cs="Arial" w:eastAsia="Arial" w:hAnsi="Arial"/>
          <w:b/>
          <w:bCs/>
          <w:sz w:val="22"/>
          <w:szCs w:val="22"/>
        </w:rPr>
        <w:t xml:space="preserve">30.8</w:t>
      </w:r>
      <w:r>
        <w:rPr>
          <w:rFonts w:ascii="Arial" w:cs="Arial" w:eastAsia="Arial" w:hAnsi="Arial"/>
          <w:sz w:val="22"/>
          <w:szCs w:val="22"/>
        </w:rPr>
        <w:t xml:space="preserve">  Such further and/or alternative relief as this Honourable Court deems appropriate.</w:t>
      </w:r>
    </w:p>
    <w:p>
      <w:pPr>
        <w:pBdr>
          <w:bottom w:val="single" w:color="2E4057" w:sz="6" w:space="1"/>
        </w:pBdr>
        <w:spacing w:before="240" w:after="240"/>
      </w:pPr>
    </w:p>
    <w:p>
      <w:pPr>
        <w:spacing w:before="240" w:after="120"/>
      </w:pPr>
      <w:r>
        <w:rPr>
          <w:rFonts w:ascii="Arial" w:cs="Arial" w:eastAsia="Arial" w:hAnsi="Arial"/>
          <w:b/>
          <w:bCs/>
          <w:sz w:val="22"/>
          <w:szCs w:val="22"/>
        </w:rPr>
        <w:t xml:space="preserve">DEPONENT: DANIEL JAMES FAUCITT — SECOND RESPONDENT</w:t>
      </w:r>
    </w:p>
    <w:p>
      <w:pPr>
        <w:spacing w:before="120" w:after="120"/>
        <w:jc w:val="both"/>
      </w:pPr>
      <w:r>
        <w:rPr>
          <w:rFonts w:ascii="Arial" w:cs="Arial" w:eastAsia="Arial" w:hAnsi="Arial"/>
          <w:sz w:val="22"/>
          <w:szCs w:val="22"/>
        </w:rPr>
        <w:t xml:space="preserve">I certify that the deponent has acknowledged that he knows and understands the contents of this affidavit, that he has no objection to taking the prescribed oath, and that the oath is binding on his conscience.</w:t>
      </w:r>
    </w:p>
    <w:p>
      <w:pPr>
        <w:spacing w:before="120" w:after="120"/>
        <w:jc w:val="both"/>
      </w:pPr>
      <w:r>
        <w:rPr>
          <w:rFonts w:ascii="Arial" w:cs="Arial" w:eastAsia="Arial" w:hAnsi="Arial"/>
          <w:sz w:val="22"/>
          <w:szCs w:val="22"/>
        </w:rPr>
        <w:t xml:space="preserve">Signed and sworn to before me at _________________ on this ______ day of _________________ 2026.</w:t>
      </w:r>
    </w:p>
    <w:p>
      <w:pPr>
        <w:spacing w:before="120" w:after="120"/>
        <w:jc w:val="both"/>
      </w:pPr>
      <w:r>
        <w:rPr>
          <w:rFonts w:ascii="Arial" w:cs="Arial" w:eastAsia="Arial" w:hAnsi="Arial"/>
          <w:b/>
          <w:bCs/>
          <w:sz w:val="22"/>
          <w:szCs w:val="22"/>
        </w:rPr>
        <w:t xml:space="preserve">COMMISSIONER OF OATHS</w:t>
      </w:r>
    </w:p>
    <w:p>
      <w:pPr>
        <w:pBdr>
          <w:bottom w:val="single" w:color="2E4057" w:sz="6" w:space="1"/>
        </w:pBdr>
        <w:spacing w:before="240" w:after="240"/>
      </w:pPr>
    </w:p>
    <w:p>
      <w:pPr>
        <w:pStyle w:val="Heading2"/>
        <w:spacing w:before="240" w:after="120"/>
      </w:pPr>
      <w:r>
        <w:rPr>
          <w:rFonts w:ascii="Arial" w:cs="Arial" w:eastAsia="Arial" w:hAnsi="Arial"/>
          <w:b/>
          <w:bCs/>
          <w:color w:val="2E4057"/>
          <w:sz w:val="24"/>
          <w:szCs w:val="24"/>
        </w:rPr>
        <w:t xml:space="preserve">SCHEDULE OF ANNEXURES — ENHANCED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Annexure</w:t>
            </w:r>
          </w:p>
        </w:tc>
        <w:tc>
          <w:tcPr>
            <w:tcW w:type="dxa" w:w="35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26"/>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Proves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DA-01</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Sage Transfer Form and Sworn Affidavit, 8 July 2024</w:t>
            </w:r>
          </w:p>
        </w:tc>
        <w:tc>
          <w:tcPr>
            <w:tcW w:type="dxa" w:w="3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Predicate crime; perjury to Sage; forged authorisation</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DA-02</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Sage Email Chain — Invited User Switch (Jul 2024)</w:t>
            </w:r>
          </w:p>
        </w:tc>
        <w:tc>
          <w:tcPr>
            <w:tcW w:type="dxa" w:w="3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Confirms admin switch to Peter's email address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DA-03</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Sage Account Records (Jun/Aug 2025)</w:t>
            </w:r>
          </w:p>
        </w:tc>
        <w:tc>
          <w:tcPr>
            <w:tcW w:type="dxa" w:w="3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Administrator change history; access blocked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DA-04</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Bantjies Fraud Reports (6 and 10 June 2025)</w:t>
            </w:r>
          </w:p>
        </w:tc>
        <w:tc>
          <w:tcPr>
            <w:tcW w:type="dxa" w:w="3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Bantjies' provable foreknowledge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JF-BS1</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FNB FICA/KYC Mandate + FNB Legal Letter 18 Jun 2025</w:t>
            </w:r>
          </w:p>
        </w:tc>
        <w:tc>
          <w:tcPr>
            <w:tcW w:type="dxa" w:w="3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SOLE mandate — 'unauthorised' legally impossible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JF04</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Second Respondent's personal bank statements (May–Jul 2025)</w:t>
            </w:r>
          </w:p>
        </w:tc>
        <w:tc>
          <w:tcPr>
            <w:tcW w:type="dxa" w:w="3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R520,000 personal expenditure; R864.45 balance on reimbursement date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SF10</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Applicant's letter to FNB, 17 June 2025 (card cancellation)</w:t>
            </w:r>
          </w:p>
        </w:tc>
        <w:tc>
          <w:tcPr>
            <w:tcW w:type="dxa" w:w="3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Secret card cancellation — financial sabotage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JF08</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'Main Trustee' Agreement and Rynette's email to Bantjies (11 Aug 2025)</w:t>
            </w:r>
          </w:p>
        </w:tc>
        <w:tc>
          <w:tcPr>
            <w:tcW w:type="dxa" w:w="3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Backdated forgery; strategic timing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JF12</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Bank records showing R10.6M extraction (Sep 2025)</w:t>
            </w:r>
          </w:p>
        </w:tc>
        <w:tc>
          <w:tcPr>
            <w:tcW w:type="dxa" w:w="3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True purpose of interdict — seizure, not protection</w:t>
            </w:r>
          </w:p>
        </w:tc>
      </w:tr>
    </w:tbl>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4057"/>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4057"/>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4A674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2026-03-11T15:59:15.442Z</dcterms:created>
  <dcterms:modified xsi:type="dcterms:W3CDTF">2026-03-11T15:59:15.442Z</dcterms:modified>
</cp:coreProperties>
</file>

<file path=docProps/custom.xml><?xml version="1.0" encoding="utf-8"?>
<Properties xmlns="http://schemas.openxmlformats.org/officeDocument/2006/custom-properties" xmlns:vt="http://schemas.openxmlformats.org/officeDocument/2006/docPropsVTypes"/>
</file>