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sz w:val="48"/>
          <w:szCs w:val="48"/>
        </w:rPr>
        <w:t xml:space="preserve">SYSTEM REPORT</w:t>
      </w:r>
    </w:p>
    <w:p>
      <w:pPr>
        <w:spacing w:after="100"/>
        <w:jc w:val="center"/>
      </w:pPr>
      <w:r>
        <w:rPr>
          <w:rFonts w:ascii="Arial" w:cs="Arial" w:eastAsia="Arial" w:hAnsi="Arial"/>
          <w:sz w:val="28"/>
          <w:szCs w:val="28"/>
        </w:rPr>
        <w:t xml:space="preserve">A Local-First Simulation Kernel for Personal</w:t>
      </w:r>
    </w:p>
    <w:p>
      <w:pPr>
        <w:spacing w:after="100"/>
        <w:jc w:val="center"/>
      </w:pPr>
      <w:r>
        <w:rPr>
          <w:rFonts w:ascii="Arial" w:cs="Arial" w:eastAsia="Arial" w:hAnsi="Arial"/>
          <w:sz w:val="28"/>
          <w:szCs w:val="28"/>
        </w:rPr>
        <w:t xml:space="preserve">and Small-Business Decision Intelligence</w:t>
      </w:r>
    </w:p>
    <w:p>
      <w:pPr>
        <w:spacing w:after="300"/>
        <w:jc w:val="center"/>
      </w:pPr>
      <w:r>
        <w:rPr>
          <w:rFonts w:ascii="Arial" w:cs="Arial" w:eastAsia="Arial" w:hAnsi="Arial"/>
          <w:i/>
          <w:iCs/>
          <w:color w:val="555555"/>
          <w:sz w:val="24"/>
          <w:szCs w:val="24"/>
        </w:rPr>
        <w:t xml:space="preserve">With Safety-Constrained Optimization, Convergence Diagnostics,</w:t>
      </w:r>
    </w:p>
    <w:p>
      <w:pPr>
        <w:spacing w:after="100"/>
        <w:jc w:val="center"/>
      </w:pPr>
      <w:r>
        <w:rPr>
          <w:rFonts w:ascii="Arial" w:cs="Arial" w:eastAsia="Arial" w:hAnsi="Arial"/>
          <w:i/>
          <w:iCs/>
          <w:color w:val="555555"/>
          <w:sz w:val="24"/>
          <w:szCs w:val="24"/>
        </w:rPr>
        <w:t xml:space="preserve">and Adversarial Evaluation</w:t>
      </w:r>
    </w:p>
    <w:p>
      <w:pPr>
        <w:spacing w:after="400"/>
      </w:pPr>
    </w:p>
    <w:p>
      <w:pPr>
        <w:spacing w:after="80"/>
        <w:jc w:val="center"/>
      </w:pPr>
      <w:r>
        <w:rPr>
          <w:rFonts w:ascii="Arial" w:cs="Arial" w:eastAsia="Arial" w:hAnsi="Arial"/>
          <w:sz w:val="24"/>
          <w:szCs w:val="24"/>
        </w:rPr>
        <w:t xml:space="preserve">Venture Horizon LLC — Research Division</w:t>
      </w:r>
    </w:p>
    <w:p>
      <w:pPr>
        <w:spacing w:after="80"/>
        <w:jc w:val="center"/>
      </w:pPr>
      <w:r>
        <w:rPr>
          <w:rFonts w:ascii="Arial" w:cs="Arial" w:eastAsia="Arial" w:hAnsi="Arial"/>
          <w:sz w:val="24"/>
          <w:szCs w:val="24"/>
        </w:rPr>
        <w:t xml:space="preserve">March 2026 — Version 2.0</w:t>
      </w:r>
    </w:p>
    <w:p>
      <w:pPr>
        <w:spacing w:after="80"/>
        <w:jc w:val="center"/>
      </w:pPr>
      <w:r>
        <w:rPr>
          <w:rFonts w:ascii="Arial" w:cs="Arial" w:eastAsia="Arial" w:hAnsi="Arial"/>
          <w:color w:val="777777"/>
          <w:sz w:val="20"/>
          <w:szCs w:val="20"/>
        </w:rPr>
        <w:t xml:space="preserve">Kernel version: 3.0.0 | Manifest: 95d9cfd24e5c9e07</w:t>
      </w:r>
    </w:p>
    <w:p>
      <w:pPr>
        <w:spacing w:after="400"/>
      </w:pPr>
    </w:p>
    <w:p>
      <w:pPr>
        <w:spacing w:after="200"/>
        <w:jc w:val="center"/>
      </w:pPr>
      <w:r>
        <w:rPr>
          <w:rFonts w:ascii="Arial" w:cs="Arial" w:eastAsia="Arial" w:hAnsi="Arial"/>
          <w:i/>
          <w:iCs/>
          <w:color w:val="555555"/>
          <w:sz w:val="22"/>
          <w:szCs w:val="22"/>
        </w:rPr>
        <w:t xml:space="preserve">This document describes the architecture, methodology, experimental results, and safety evaluation of a domain-agnostic Monte Carlo simulation and evolutionary optimization system. It is a technical system report intended for practitioner review, not an academic thesis. All claims are scoped to demonstrated capabilities with explicit evidence. The system is a decision-support tool, not a decision authority, and is not a substitute for professional advice in regulated domains.</w:t>
      </w:r>
    </w:p>
    <w:p>
      <w:r>
        <w:br w:type="page"/>
      </w:r>
    </w:p>
    <w:p>
      <w:pPr>
        <w:pStyle w:val="Heading1"/>
        <w:spacing w:before="400" w:after="200"/>
      </w:pPr>
      <w:r>
        <w:rPr>
          <w:rFonts w:ascii="Arial" w:cs="Arial" w:eastAsia="Arial" w:hAnsi="Arial"/>
        </w:rPr>
        <w:t xml:space="preserve">Abstract</w:t>
      </w:r>
    </w:p>
    <w:p>
      <w:pPr>
        <w:spacing w:after="180" w:line="360"/>
      </w:pPr>
      <w:r>
        <w:rPr>
          <w:rFonts w:ascii="Arial" w:cs="Arial" w:eastAsia="Arial" w:hAnsi="Arial"/>
          <w:sz w:val="24"/>
          <w:szCs w:val="24"/>
        </w:rPr>
        <w:t xml:space="preserve">This report describes a domain-agnostic, local-first simulation kernel that produces probabilistic outcome distributions and risk-aware strategy recommendations for personal and small-business decision-making. The system accepts problem definitions as declarative JSON configurations with explicit separation of uncertain parameters, operator-controllable decisions, and exogenous shocks, then executes Monte Carlo simulation, safety-constrained evolutionary optimization, and diagnostic evaluation through a single execution pipeline.</w:t>
      </w:r>
    </w:p>
    <w:p>
      <w:pPr>
        <w:spacing w:after="180" w:line="360"/>
      </w:pPr>
      <w:r>
        <w:rPr>
          <w:rFonts w:ascii="Arial" w:cs="Arial" w:eastAsia="Arial" w:hAnsi="Arial"/>
          <w:sz w:val="24"/>
          <w:szCs w:val="24"/>
        </w:rPr>
        <w:t xml:space="preserve">We demonstrate the kernel across a primary business-revenue domain and two secondary domains (job search and investment portfolio). Key evidence includes: convergence diagnostics showing the mean estimator stabilizes at N=250 with a 95% confidence interval under 5% of the mean (1.1% at N=5,000); one-at-a-time sensitivity analysis confirming project value as the dominant output driver (22.6% relative importance, elasticity 1.05); a deterministic baseline comparison showing Monte Carlo reveals $26,000 of hidden downside risk invisible to point-estimate forecasting; and a safety-constrained evolutionary optimizer that reduced ruin probability from 35.5% to 1.8% while maintaining $149,000 median annual revenue, with all CVaR and chance constraints satisfied.</w:t>
      </w:r>
    </w:p>
    <w:p>
      <w:pPr>
        <w:spacing w:after="180" w:line="360"/>
      </w:pPr>
      <w:r>
        <w:rPr>
          <w:rFonts w:ascii="Arial" w:cs="Arial" w:eastAsia="Arial" w:hAnsi="Arial"/>
          <w:sz w:val="24"/>
          <w:szCs w:val="24"/>
        </w:rPr>
        <w:t xml:space="preserve">Adversarial testing demonstrated that a “free lunch” attack strategy—simultaneously maximizing price and close rate beyond plausible bounds—was penalized by the multi-objective fitness function, though the results also revealed the need for explicit input plausibility constraints as an additional defense layer.</w:t>
      </w:r>
    </w:p>
    <w:p>
      <w:pPr>
        <w:spacing w:after="180" w:line="360"/>
      </w:pPr>
      <w:r>
        <w:rPr>
          <w:rFonts w:ascii="Arial" w:cs="Arial" w:eastAsia="Arial" w:hAnsi="Arial"/>
          <w:sz w:val="24"/>
          <w:szCs w:val="24"/>
        </w:rPr>
        <w:t xml:space="preserve">All components execute in pure Python standard library with zero external dependencies. The system is designed for local-first deployment on commodity hardware including edge compute nodes.</w:t>
      </w:r>
    </w:p>
    <w:p>
      <w:r>
        <w:br w:type="page"/>
      </w:r>
    </w:p>
    <w:p>
      <w:pPr>
        <w:pStyle w:val="Heading1"/>
        <w:spacing w:before="400" w:after="200"/>
      </w:pPr>
      <w:r>
        <w:rPr>
          <w:rFonts w:ascii="Arial" w:cs="Arial" w:eastAsia="Arial" w:hAnsi="Arial"/>
        </w:rPr>
        <w:t xml:space="preserve">1. Introduction</w:t>
      </w:r>
    </w:p>
    <w:p>
      <w:pPr>
        <w:pStyle w:val="Heading2"/>
        <w:spacing w:before="300" w:after="150"/>
      </w:pPr>
      <w:r>
        <w:rPr>
          <w:rFonts w:ascii="Arial" w:cs="Arial" w:eastAsia="Arial" w:hAnsi="Arial"/>
        </w:rPr>
        <w:t xml:space="preserve">1.1 Problem statement</w:t>
      </w:r>
    </w:p>
    <w:p>
      <w:pPr>
        <w:spacing w:after="180" w:line="360"/>
      </w:pPr>
      <w:r>
        <w:rPr>
          <w:rFonts w:ascii="Arial" w:cs="Arial" w:eastAsia="Arial" w:hAnsi="Arial"/>
          <w:sz w:val="24"/>
          <w:szCs w:val="24"/>
        </w:rPr>
        <w:t xml:space="preserve">Most individuals and small-business operators face recurring high-stakes decisions under deep uncertainty: which career path to pursue, how to price services, when to hire, how to allocate limited capital. These decisions share a common structure—multiple interacting stochastic variables, extended time horizons, and asymmetric costs of failure—yet the tools available for reasoning about them remain limited to point-estimate spreadsheets, heuristic rules, and single-scenario projections that collapse outcome distributions into misleading certainties.</w:t>
      </w:r>
    </w:p>
    <w:p>
      <w:pPr>
        <w:spacing w:after="180" w:line="360"/>
      </w:pPr>
      <w:r>
        <w:rPr>
          <w:rFonts w:ascii="Arial" w:cs="Arial" w:eastAsia="Arial" w:hAnsi="Arial"/>
          <w:sz w:val="24"/>
          <w:szCs w:val="24"/>
        </w:rPr>
        <w:t xml:space="preserve">This report describes a system that addresses this gap within a specific and bounded scope: a domain-agnostic simulation kernel that accepts typed problem definitions, produces distributional forecasts with percentile confidence bands, performs safety-constrained strategy optimization, and includes diagnostic and adversarial evaluation capabilities. It operates entirely on local hardware with no external dependencies.</w:t>
      </w:r>
    </w:p>
    <w:p>
      <w:pPr>
        <w:pStyle w:val="Heading2"/>
        <w:spacing w:before="300" w:after="150"/>
      </w:pPr>
      <w:r>
        <w:rPr>
          <w:rFonts w:ascii="Arial" w:cs="Arial" w:eastAsia="Arial" w:hAnsi="Arial"/>
        </w:rPr>
        <w:t xml:space="preserve">1.2 Scope and limitations</w:t>
      </w:r>
    </w:p>
    <w:p>
      <w:pPr>
        <w:spacing w:after="180" w:line="360"/>
      </w:pPr>
      <w:r>
        <w:rPr>
          <w:rFonts w:ascii="Arial" w:cs="Arial" w:eastAsia="Arial" w:hAnsi="Arial"/>
          <w:sz w:val="24"/>
          <w:szCs w:val="24"/>
        </w:rPr>
        <w:t xml:space="preserve">This system is a decision-support tool. It is not an oracle, not a replacement for professional financial or medical advice, and not a validated prediction engine for regulated domains. Its outputs are conditional on the quality of input assumptions—a limitation addressed through calibration metadata, convergence diagnostics, sensitivity analysis, and safety constraints, but never fully eliminated.</w:t>
      </w:r>
    </w:p>
    <w:p>
      <w:pPr>
        <w:spacing w:after="180" w:line="360"/>
      </w:pPr>
      <w:r>
        <w:rPr>
          <w:rFonts w:ascii="Arial" w:cs="Arial" w:eastAsia="Arial" w:hAnsi="Arial"/>
          <w:sz w:val="24"/>
          <w:szCs w:val="24"/>
        </w:rPr>
        <w:t xml:space="preserve">The system does not implement full Bayesian posterior inference. Parameters are currently updated through iterative recalibration (re-running simulations with adjusted distributions after observing real outcomes), not through formal prior-likelihood-posterior computation. Conjugate Bayesian updates for common event models (Beta-Binomial for conversion rates, Gamma-Poisson for arrival counts) are designed but not yet running in the production kernel. This limitation is documented here and in Section 8 (Future Work) rather than obscured.</w:t>
      </w:r>
    </w:p>
    <w:p>
      <w:pPr>
        <w:pStyle w:val="Heading2"/>
        <w:spacing w:before="300" w:after="150"/>
      </w:pPr>
      <w:r>
        <w:rPr>
          <w:rFonts w:ascii="Arial" w:cs="Arial" w:eastAsia="Arial" w:hAnsi="Arial"/>
        </w:rPr>
        <w:t xml:space="preserve">1.3 Related work</w:t>
      </w:r>
    </w:p>
    <w:p>
      <w:pPr>
        <w:spacing w:after="180" w:line="360"/>
      </w:pPr>
      <w:r>
        <w:rPr>
          <w:rFonts w:ascii="Arial" w:cs="Arial" w:eastAsia="Arial" w:hAnsi="Arial"/>
          <w:sz w:val="24"/>
          <w:szCs w:val="24"/>
        </w:rPr>
        <w:t xml:space="preserve">The system occupies a space between several established tool categories. Probabilistic programming languages (Stan, PyMC, Pyro) provide rigorous Bayesian inference but require statistical expertise and are not designed for personal-scale decision simulation. Commercial Monte Carlo tools (Analytica, @RISK, Crystal Ball, ModelRisk) support uncertainty analysis primarily in spreadsheet or project-management contexts but typically assume domain-specific workflows and cloud or desktop deployment. Financial planning Monte Carlo calculators (ProjectionLab, FI Calc, Portfolio Visualizer) address retirement projections specifically but do not generalize to business, career, or multi-domain decisions.</w:t>
      </w:r>
    </w:p>
    <w:p>
      <w:pPr>
        <w:spacing w:after="180" w:line="360"/>
      </w:pPr>
      <w:r>
        <w:rPr>
          <w:rFonts w:ascii="Arial" w:cs="Arial" w:eastAsia="Arial" w:hAnsi="Arial"/>
          <w:sz w:val="24"/>
          <w:szCs w:val="24"/>
        </w:rPr>
        <w:t xml:space="preserve">Our contribution is architectural, not algorithmic: a declarative configuration schema that separates domain semantics from simulation mechanics, enabling a single lightweight kernel to handle arbitrary sequential decision problems without code changes. The closest conceptual precedent is the domain-specific language approach used in probabilistic programming, applied here to simulation-driven decision support rather than statistical inference.</w:t>
      </w:r>
    </w:p>
    <w:p>
      <w:pPr>
        <w:pStyle w:val="Heading2"/>
        <w:spacing w:before="300" w:after="150"/>
      </w:pPr>
      <w:r>
        <w:rPr>
          <w:rFonts w:ascii="Arial" w:cs="Arial" w:eastAsia="Arial" w:hAnsi="Arial"/>
        </w:rPr>
        <w:t xml:space="preserve">1.4 Research questions</w:t>
      </w:r>
    </w:p>
    <w:p>
      <w:pPr>
        <w:spacing w:after="180" w:line="360"/>
      </w:pPr>
      <w:r>
        <w:rPr>
          <w:rFonts w:ascii="Arial" w:cs="Arial" w:eastAsia="Arial" w:hAnsi="Arial"/>
          <w:sz w:val="24"/>
          <w:szCs w:val="24"/>
        </w:rPr>
        <w:t xml:space="preserve">This report addresses four questions, each with measurable criteria:</w:t>
      </w:r>
    </w:p>
    <w:p>
      <w:pPr>
        <w:spacing w:after="180" w:line="360"/>
      </w:pPr>
      <w:r>
        <w:rPr>
          <w:rFonts w:ascii="Arial" w:cs="Arial" w:eastAsia="Arial" w:hAnsi="Arial"/>
          <w:b/>
          <w:bCs/>
          <w:sz w:val="24"/>
          <w:szCs w:val="24"/>
        </w:rPr>
        <w:t xml:space="preserve">RQ1 (Convergence): </w:t>
      </w:r>
      <w:r>
        <w:rPr>
          <w:rFonts w:ascii="Arial" w:cs="Arial" w:eastAsia="Arial" w:hAnsi="Arial"/>
          <w:sz w:val="24"/>
          <w:szCs w:val="24"/>
        </w:rPr>
        <w:t xml:space="preserve">At what sample size do Monte Carlo estimators stabilize, and is the default N=5,000 justified?</w:t>
      </w:r>
    </w:p>
    <w:p>
      <w:pPr>
        <w:spacing w:after="180" w:line="360"/>
      </w:pPr>
      <w:r>
        <w:rPr>
          <w:rFonts w:ascii="Arial" w:cs="Arial" w:eastAsia="Arial" w:hAnsi="Arial"/>
          <w:b/>
          <w:bCs/>
          <w:sz w:val="24"/>
          <w:szCs w:val="24"/>
        </w:rPr>
        <w:t xml:space="preserve">RQ2 (Sensitivity): </w:t>
      </w:r>
      <w:r>
        <w:rPr>
          <w:rFonts w:ascii="Arial" w:cs="Arial" w:eastAsia="Arial" w:hAnsi="Arial"/>
          <w:sz w:val="24"/>
          <w:szCs w:val="24"/>
        </w:rPr>
        <w:t xml:space="preserve">Which input parameters drive the most output variance, and does the optimizer’s discovered strategy align with sensitivity rankings?</w:t>
      </w:r>
    </w:p>
    <w:p>
      <w:pPr>
        <w:spacing w:after="180" w:line="360"/>
      </w:pPr>
      <w:r>
        <w:rPr>
          <w:rFonts w:ascii="Arial" w:cs="Arial" w:eastAsia="Arial" w:hAnsi="Arial"/>
          <w:b/>
          <w:bCs/>
          <w:sz w:val="24"/>
          <w:szCs w:val="24"/>
        </w:rPr>
        <w:t xml:space="preserve">RQ3 (Safety): </w:t>
      </w:r>
      <w:r>
        <w:rPr>
          <w:rFonts w:ascii="Arial" w:cs="Arial" w:eastAsia="Arial" w:hAnsi="Arial"/>
          <w:sz w:val="24"/>
          <w:szCs w:val="24"/>
        </w:rPr>
        <w:t xml:space="preserve">Can formal chance constraints and CVaR bounds prevent the optimizer from recommending strategies with unacceptable downside risk?</w:t>
      </w:r>
    </w:p>
    <w:p>
      <w:pPr>
        <w:spacing w:after="180" w:line="360"/>
      </w:pPr>
      <w:r>
        <w:rPr>
          <w:rFonts w:ascii="Arial" w:cs="Arial" w:eastAsia="Arial" w:hAnsi="Arial"/>
          <w:b/>
          <w:bCs/>
          <w:sz w:val="24"/>
          <w:szCs w:val="24"/>
        </w:rPr>
        <w:t xml:space="preserve">RQ4 (Adversarial resilience): </w:t>
      </w:r>
      <w:r>
        <w:rPr>
          <w:rFonts w:ascii="Arial" w:cs="Arial" w:eastAsia="Arial" w:hAnsi="Arial"/>
          <w:sz w:val="24"/>
          <w:szCs w:val="24"/>
        </w:rPr>
        <w:t xml:space="preserve">Does the system detect and penalize implausible “free lunch” strategies that exploit modeling assumptions?</w:t>
      </w:r>
    </w:p>
    <w:p>
      <w:r>
        <w:br w:type="page"/>
      </w:r>
    </w:p>
    <w:p>
      <w:pPr>
        <w:pStyle w:val="Heading1"/>
        <w:spacing w:before="400" w:after="200"/>
      </w:pPr>
      <w:r>
        <w:rPr>
          <w:rFonts w:ascii="Arial" w:cs="Arial" w:eastAsia="Arial" w:hAnsi="Arial"/>
        </w:rPr>
        <w:t xml:space="preserve">2. System Architecture</w:t>
      </w:r>
    </w:p>
    <w:p>
      <w:pPr>
        <w:pStyle w:val="Heading2"/>
        <w:spacing w:before="300" w:after="150"/>
      </w:pPr>
      <w:r>
        <w:rPr>
          <w:rFonts w:ascii="Arial" w:cs="Arial" w:eastAsia="Arial" w:hAnsi="Arial"/>
        </w:rPr>
        <w:t xml:space="preserve">2.1 Design principles</w:t>
      </w:r>
    </w:p>
    <w:p>
      <w:pPr>
        <w:spacing w:after="180" w:line="360"/>
      </w:pPr>
      <w:r>
        <w:rPr>
          <w:rFonts w:ascii="Arial" w:cs="Arial" w:eastAsia="Arial" w:hAnsi="Arial"/>
          <w:b/>
          <w:bCs/>
          <w:sz w:val="24"/>
          <w:szCs w:val="24"/>
        </w:rPr>
        <w:t xml:space="preserve">Local-first execution. </w:t>
      </w:r>
      <w:r>
        <w:rPr>
          <w:rFonts w:ascii="Arial" w:cs="Arial" w:eastAsia="Arial" w:hAnsi="Arial"/>
          <w:sz w:val="24"/>
          <w:szCs w:val="24"/>
        </w:rPr>
        <w:t xml:space="preserve">All simulation logic executes on commodity hardware without network dependencies. Reference runtime: 5,000-run Monte Carlo completes in under 15 seconds on a single core.</w:t>
      </w:r>
    </w:p>
    <w:p>
      <w:pPr>
        <w:spacing w:after="180" w:line="360"/>
      </w:pPr>
      <w:r>
        <w:rPr>
          <w:rFonts w:ascii="Arial" w:cs="Arial" w:eastAsia="Arial" w:hAnsi="Arial"/>
          <w:b/>
          <w:bCs/>
          <w:sz w:val="24"/>
          <w:szCs w:val="24"/>
        </w:rPr>
        <w:t xml:space="preserve">Zero external dependencies. </w:t>
      </w:r>
      <w:r>
        <w:rPr>
          <w:rFonts w:ascii="Arial" w:cs="Arial" w:eastAsia="Arial" w:hAnsi="Arial"/>
          <w:sz w:val="24"/>
          <w:szCs w:val="24"/>
        </w:rPr>
        <w:t xml:space="preserve">The kernel uses only Python standard library modules. This is an explicit design tradeoff: we sacrifice the performance benefits of NumPy/SciPy (10–100× faster vectorized sampling, validated statistical distributions, optimized PRNG) in exchange for portability, supply-chain simplicity, and deployment on constrained edge hardware. This tradeoff is appropriate for the target use case; it would not be appropriate for production financial systems or clinical applications.</w:t>
      </w:r>
    </w:p>
    <w:p>
      <w:pPr>
        <w:spacing w:after="180" w:line="360"/>
      </w:pPr>
      <w:r>
        <w:rPr>
          <w:rFonts w:ascii="Arial" w:cs="Arial" w:eastAsia="Arial" w:hAnsi="Arial"/>
          <w:b/>
          <w:bCs/>
          <w:sz w:val="24"/>
          <w:szCs w:val="24"/>
        </w:rPr>
        <w:t xml:space="preserve">Domain-agnostic kernel. </w:t>
      </w:r>
      <w:r>
        <w:rPr>
          <w:rFonts w:ascii="Arial" w:cs="Arial" w:eastAsia="Arial" w:hAnsi="Arial"/>
          <w:sz w:val="24"/>
          <w:szCs w:val="24"/>
        </w:rPr>
        <w:t xml:space="preserve">The simulation engine contains no domain-specific logic. All problem semantics are expressed in JSON configuration files.</w:t>
      </w:r>
    </w:p>
    <w:p>
      <w:pPr>
        <w:spacing w:after="180" w:line="360"/>
      </w:pPr>
      <w:r>
        <w:rPr>
          <w:rFonts w:ascii="Arial" w:cs="Arial" w:eastAsia="Arial" w:hAnsi="Arial"/>
          <w:b/>
          <w:bCs/>
          <w:sz w:val="24"/>
          <w:szCs w:val="24"/>
        </w:rPr>
        <w:t xml:space="preserve">JSON-in, JSON-out interface. </w:t>
      </w:r>
      <w:r>
        <w:rPr>
          <w:rFonts w:ascii="Arial" w:cs="Arial" w:eastAsia="Arial" w:hAnsi="Arial"/>
          <w:sz w:val="24"/>
          <w:szCs w:val="24"/>
        </w:rPr>
        <w:t xml:space="preserve">Every interaction follows a single contract: a JSON configuration enters, a JSON results object exits. This enables integration with CLI, HTTP wrappers, task queues, agent frameworks, or LLM tool calls.</w:t>
      </w:r>
    </w:p>
    <w:p>
      <w:pPr>
        <w:spacing w:after="180" w:line="360"/>
      </w:pPr>
      <w:r>
        <w:rPr>
          <w:rFonts w:ascii="Arial" w:cs="Arial" w:eastAsia="Arial" w:hAnsi="Arial"/>
          <w:b/>
          <w:bCs/>
          <w:sz w:val="24"/>
          <w:szCs w:val="24"/>
        </w:rPr>
        <w:t xml:space="preserve">Safety as a first-class concern. </w:t>
      </w:r>
      <w:r>
        <w:rPr>
          <w:rFonts w:ascii="Arial" w:cs="Arial" w:eastAsia="Arial" w:hAnsi="Arial"/>
          <w:sz w:val="24"/>
          <w:szCs w:val="24"/>
        </w:rPr>
        <w:t xml:space="preserve">Every optimization recommendation is evaluated against formal safety constraints (chance constraints and CVaR bounds) before acceptance.</w:t>
      </w:r>
    </w:p>
    <w:p>
      <w:pPr>
        <w:pStyle w:val="Heading2"/>
        <w:spacing w:before="300" w:after="150"/>
      </w:pPr>
      <w:r>
        <w:rPr>
          <w:rFonts w:ascii="Arial" w:cs="Arial" w:eastAsia="Arial" w:hAnsi="Arial"/>
        </w:rPr>
        <w:t xml:space="preserve">2.2 Schema design (v3)</w:t>
      </w:r>
    </w:p>
    <w:p>
      <w:pPr>
        <w:spacing w:after="180" w:line="360"/>
      </w:pPr>
      <w:r>
        <w:rPr>
          <w:rFonts w:ascii="Arial" w:cs="Arial" w:eastAsia="Arial" w:hAnsi="Arial"/>
          <w:sz w:val="24"/>
          <w:szCs w:val="24"/>
        </w:rPr>
        <w:t xml:space="preserve">The v3 schema restructures the flat “variables” list from earlier versions into four semantically distinct categories. This separation was motivated by reviewer feedback identifying that the original schema conflated uncertain parameters with operator decisions and external shocks, making it impossible to distinguish what the system can learn from evidence, what the operator controls, and what is genuinely exogenous.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234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sz w:val="22"/>
                <w:szCs w:val="22"/>
              </w:rPr>
              <w:t xml:space="preserve">Purpose</w:t>
            </w:r>
          </w:p>
        </w:tc>
        <w:tc>
          <w:tcPr>
            <w:tcW w:type="dxa" w:w="234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sz w:val="22"/>
                <w:szCs w:val="22"/>
              </w:rPr>
              <w:t xml:space="preserve">Example</w:t>
            </w:r>
          </w:p>
        </w:tc>
        <w:tc>
          <w:tcPr>
            <w:tcW w:type="dxa" w:w="234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sz w:val="22"/>
                <w:szCs w:val="22"/>
              </w:rPr>
              <w:t xml:space="preserve">Updatable?</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Parameters</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Uncertain; updated by evidence</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Close rate, market return</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Yes (Bayesian)</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Controls</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Operator decisions</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Pricing, hours budget, costs</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By operator choice</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Exogenous</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External, uncontrollable</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Lead arrivals, weather, shocks</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Observed, not controlled</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Observations</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What you can measure</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Revenue received, offers gotten</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Ground truth for calibration</w:t>
            </w:r>
          </w:p>
        </w:tc>
      </w:tr>
    </w:tbl>
    <w:p>
      <w:pPr>
        <w:spacing w:after="180"/>
      </w:pPr>
    </w:p>
    <w:p>
      <w:pPr>
        <w:spacing w:after="180" w:line="360"/>
      </w:pPr>
      <w:r>
        <w:rPr>
          <w:rFonts w:ascii="Arial" w:cs="Arial" w:eastAsia="Arial" w:hAnsi="Arial"/>
          <w:sz w:val="24"/>
          <w:szCs w:val="24"/>
        </w:rPr>
        <w:t xml:space="preserve">Each variable carries calibration metadata documenting its source, justification, and update method. For example, the close-rate parameter is documented as: source = operator estimate validated against SBA small-business conversion benchmarks (20–40% typical for referral-heavy consultancies); update method = Beta-Binomial conjugate after observing actual closes per month.</w:t>
      </w:r>
    </w:p>
    <w:p>
      <w:pPr>
        <w:pStyle w:val="Heading2"/>
        <w:spacing w:before="300" w:after="150"/>
      </w:pPr>
      <w:r>
        <w:rPr>
          <w:rFonts w:ascii="Arial" w:cs="Arial" w:eastAsia="Arial" w:hAnsi="Arial"/>
        </w:rPr>
        <w:t xml:space="preserve">2.3 Kernel components</w:t>
      </w:r>
    </w:p>
    <w:p>
      <w:pPr>
        <w:spacing w:after="180" w:line="360"/>
      </w:pPr>
      <w:r>
        <w:rPr>
          <w:rFonts w:ascii="Arial" w:cs="Arial" w:eastAsia="Arial" w:hAnsi="Arial"/>
          <w:b/>
          <w:bCs/>
          <w:sz w:val="24"/>
          <w:szCs w:val="24"/>
        </w:rPr>
        <w:t xml:space="preserve">Sampler. </w:t>
      </w:r>
      <w:r>
        <w:rPr>
          <w:rFonts w:ascii="Arial" w:cs="Arial" w:eastAsia="Arial" w:hAnsi="Arial"/>
          <w:sz w:val="24"/>
          <w:szCs w:val="24"/>
        </w:rPr>
        <w:t xml:space="preserve">Draws values from eight distribution families: fixed, uniform, triangular, normal (clamped), log-normal (parameterized as median + log-space standard deviation, where spread=0.7 implies a P10-to-P90 ratio of approximately 4.6×), Bernoulli, Poisson, and Student’s t (for fat-tailed returns with configurable degrees of freedom). A binomial convenience function aggregates Bernoulli trials.</w:t>
      </w:r>
    </w:p>
    <w:p>
      <w:pPr>
        <w:spacing w:after="180" w:line="360"/>
      </w:pPr>
      <w:r>
        <w:rPr>
          <w:rFonts w:ascii="Arial" w:cs="Arial" w:eastAsia="Arial" w:hAnsi="Arial"/>
          <w:b/>
          <w:bCs/>
          <w:sz w:val="24"/>
          <w:szCs w:val="24"/>
        </w:rPr>
        <w:t xml:space="preserve">Simulator. </w:t>
      </w:r>
      <w:r>
        <w:rPr>
          <w:rFonts w:ascii="Arial" w:cs="Arial" w:eastAsia="Arial" w:hAnsi="Arial"/>
          <w:sz w:val="24"/>
          <w:szCs w:val="24"/>
        </w:rPr>
        <w:t xml:space="preserve">Executes a single timeline by iterating through T timesteps, sampling all variables, evaluating step-logic expressions, and updating accumulators. The expression evaluator operates in a restricted namespace with mathematical primitives and simulation helpers. Note: the current evaluator uses Python’s eval() with a restricted builtins dictionary. An AST-based evaluator that never calls eval() has been implemented in the diagnostics module and will replace the current evaluator in the next release. This addresses the legitimate security concern that eval() is inherently unsafe on untrusted input.</w:t>
      </w:r>
    </w:p>
    <w:p>
      <w:pPr>
        <w:spacing w:after="180" w:line="360"/>
      </w:pPr>
      <w:r>
        <w:rPr>
          <w:rFonts w:ascii="Arial" w:cs="Arial" w:eastAsia="Arial" w:hAnsi="Arial"/>
          <w:b/>
          <w:bCs/>
          <w:sz w:val="24"/>
          <w:szCs w:val="24"/>
        </w:rPr>
        <w:t xml:space="preserve">Aggregator. </w:t>
      </w:r>
      <w:r>
        <w:rPr>
          <w:rFonts w:ascii="Arial" w:cs="Arial" w:eastAsia="Arial" w:hAnsi="Arial"/>
          <w:sz w:val="24"/>
          <w:szCs w:val="24"/>
        </w:rPr>
        <w:t xml:space="preserve">Runs the simulator N times and computes distributional statistics: mean, median, standard deviation, and percentiles (P10, P25, P75, P90) for each metric. Also computes per-timestep trajectory percentiles for accumulator variables.</w:t>
      </w:r>
    </w:p>
    <w:p>
      <w:pPr>
        <w:spacing w:after="180" w:line="360"/>
      </w:pPr>
      <w:r>
        <w:rPr>
          <w:rFonts w:ascii="Arial" w:cs="Arial" w:eastAsia="Arial" w:hAnsi="Arial"/>
          <w:b/>
          <w:bCs/>
          <w:sz w:val="24"/>
          <w:szCs w:val="24"/>
        </w:rPr>
        <w:t xml:space="preserve">Safety evaluator. </w:t>
      </w:r>
      <w:r>
        <w:rPr>
          <w:rFonts w:ascii="Arial" w:cs="Arial" w:eastAsia="Arial" w:hAnsi="Arial"/>
          <w:sz w:val="24"/>
          <w:szCs w:val="24"/>
        </w:rPr>
        <w:t xml:space="preserve">Checks Monte Carlo results against formal constraints: chance constraints (P(harm) ≤ δ) and CVaR bounds (expected loss in the worst α% of scenarios ≥ minimum threshold). Returns pass/fail for each constraint.</w:t>
      </w:r>
    </w:p>
    <w:p>
      <w:pPr>
        <w:spacing w:after="180" w:line="360"/>
      </w:pPr>
      <w:r>
        <w:rPr>
          <w:rFonts w:ascii="Arial" w:cs="Arial" w:eastAsia="Arial" w:hAnsi="Arial"/>
          <w:b/>
          <w:bCs/>
          <w:sz w:val="24"/>
          <w:szCs w:val="24"/>
        </w:rPr>
        <w:t xml:space="preserve">Constrained evolver. </w:t>
      </w:r>
      <w:r>
        <w:rPr>
          <w:rFonts w:ascii="Arial" w:cs="Arial" w:eastAsia="Arial" w:hAnsi="Arial"/>
          <w:sz w:val="24"/>
          <w:szCs w:val="24"/>
        </w:rPr>
        <w:t xml:space="preserve">Wraps the aggregator in a genetic algorithm that breeds strategy populations, evaluates fitness, and applies safety penalties to individuals that violate constraints. Strategies that fail safety checks receive a 30% fitness penalty per violation, causing the optimizer to preferentially select safe configurations.</w:t>
      </w:r>
    </w:p>
    <w:p>
      <w:pPr>
        <w:spacing w:after="180" w:line="360"/>
      </w:pPr>
      <w:r>
        <w:rPr>
          <w:rFonts w:ascii="Arial" w:cs="Arial" w:eastAsia="Arial" w:hAnsi="Arial"/>
          <w:b/>
          <w:bCs/>
          <w:sz w:val="24"/>
          <w:szCs w:val="24"/>
        </w:rPr>
        <w:t xml:space="preserve">Experiment manifest. </w:t>
      </w:r>
      <w:r>
        <w:rPr>
          <w:rFonts w:ascii="Arial" w:cs="Arial" w:eastAsia="Arial" w:hAnsi="Arial"/>
          <w:sz w:val="24"/>
          <w:szCs w:val="24"/>
        </w:rPr>
        <w:t xml:space="preserve">Every run records: configuration hash (SHA-256), random seed, simulation count, kernel version, and timestamp. This eliminates the class of reproducibility errors identified by reviewers (the v1 inconsistency between 5,000 and 10,000 run counts).</w:t>
      </w:r>
    </w:p>
    <w:p>
      <w:pPr>
        <w:pStyle w:val="Heading2"/>
        <w:spacing w:before="300" w:after="150"/>
      </w:pPr>
      <w:r>
        <w:rPr>
          <w:rFonts w:ascii="Arial" w:cs="Arial" w:eastAsia="Arial" w:hAnsi="Arial"/>
        </w:rPr>
        <w:t xml:space="preserve">2.4 Evolutionary optimizer: explicit hyperparameters</w:t>
      </w:r>
    </w:p>
    <w:p>
      <w:pPr>
        <w:spacing w:after="180" w:line="360"/>
      </w:pPr>
      <w:r>
        <w:rPr>
          <w:rFonts w:ascii="Arial" w:cs="Arial" w:eastAsia="Arial" w:hAnsi="Arial"/>
          <w:sz w:val="24"/>
          <w:szCs w:val="24"/>
        </w:rPr>
        <w:t xml:space="preserve">The following table documents all optimizer hyperparameters, addressing the reviewer concern that “population size, crossover rate, mutation variance, tournament size, elite fraction—none are specified or justified.”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sz w:val="22"/>
                <w:szCs w:val="22"/>
              </w:rPr>
              <w:t xml:space="preserve">Hyperparameter</w:t>
            </w:r>
          </w:p>
        </w:tc>
        <w:tc>
          <w:tcPr>
            <w:tcW w:type="dxa" w:w="24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sz w:val="22"/>
                <w:szCs w:val="22"/>
              </w:rPr>
              <w:t xml:space="preserve">Value</w:t>
            </w:r>
          </w:p>
        </w:tc>
        <w:tc>
          <w:tcPr>
            <w:tcW w:type="dxa" w:w="336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sz w:val="22"/>
                <w:szCs w:val="22"/>
              </w:rPr>
              <w:t xml:space="preserve">Justification</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Population size</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12–20</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Sufficient for 5-dimensional search; constrained by per-eval MC cost</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Generations</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6–15</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Convergence typically observed by gen 3–4</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Selection</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Tournament (k=3)</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Standard pressure; 15–25% of population per tournament</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Elitism</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2 individuals</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10–17% elite fraction preserves best-known solutions across noisy evals</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Crossover</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Uniform</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Each gene independently from either parent (p=0.5)</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Mutation rate</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0.25</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Per-gene probability of perturbation</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Mutation strength</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0.10</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Gaussian: delta ~ N(0, range × 0.10)</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MC runs per eval</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1,000–2,000</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Convergence analysis shows mean stabilizes at N=250; N=1,000 provides 2.4% CI</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Fitness estimation</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Stochastic (noisy)</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Noise mitigated by elitism + larger eval budgets for final candidates</w:t>
            </w:r>
          </w:p>
        </w:tc>
      </w:tr>
    </w:tbl>
    <w:p>
      <w:r>
        <w:br w:type="page"/>
      </w:r>
    </w:p>
    <w:p>
      <w:pPr>
        <w:pStyle w:val="Heading1"/>
        <w:spacing w:before="400" w:after="200"/>
      </w:pPr>
      <w:r>
        <w:rPr>
          <w:rFonts w:ascii="Arial" w:cs="Arial" w:eastAsia="Arial" w:hAnsi="Arial"/>
        </w:rPr>
        <w:t xml:space="preserve">3. Methodology</w:t>
      </w:r>
    </w:p>
    <w:p>
      <w:pPr>
        <w:pStyle w:val="Heading2"/>
        <w:spacing w:before="300" w:after="150"/>
      </w:pPr>
      <w:r>
        <w:rPr>
          <w:rFonts w:ascii="Arial" w:cs="Arial" w:eastAsia="Arial" w:hAnsi="Arial"/>
        </w:rPr>
        <w:t xml:space="preserve">3.1 Simulation loop (pseudocode)</w:t>
      </w:r>
    </w:p>
    <w:p>
      <w:pPr>
        <w:spacing w:after="180" w:line="360"/>
      </w:pPr>
      <w:r>
        <w:rPr>
          <w:rFonts w:ascii="Arial" w:cs="Arial" w:eastAsia="Arial" w:hAnsi="Arial"/>
          <w:sz w:val="24"/>
          <w:szCs w:val="24"/>
        </w:rPr>
        <w:t xml:space="preserve">The following pseudocode describes the core simulation loop. Each run produces one simulated timeline; N runs produce the outcome distribution.</w:t>
      </w:r>
    </w:p>
    <w:p>
      <w:pPr>
        <w:spacing w:after="180" w:line="360"/>
      </w:pPr>
      <w:r>
        <w:rPr>
          <w:rFonts w:ascii="Courier New" w:cs="Courier New" w:eastAsia="Courier New" w:hAnsi="Courier New"/>
          <w:sz w:val="22"/>
          <w:szCs w:val="22"/>
        </w:rPr>
        <w:t xml:space="preserve">FUNCTION simulate_one(config):</w:t>
      </w:r>
    </w:p>
    <w:p>
      <w:pPr>
        <w:spacing w:after="180" w:line="360"/>
      </w:pPr>
      <w:r>
        <w:rPr>
          <w:rFonts w:ascii="Courier New" w:cs="Courier New" w:eastAsia="Courier New" w:hAnsi="Courier New"/>
          <w:sz w:val="22"/>
          <w:szCs w:val="22"/>
        </w:rPr>
        <w:t xml:space="preserve">  state ← config.initial_state</w:t>
      </w:r>
    </w:p>
    <w:p>
      <w:pPr>
        <w:spacing w:after="180" w:line="360"/>
      </w:pPr>
      <w:r>
        <w:rPr>
          <w:rFonts w:ascii="Courier New" w:cs="Courier New" w:eastAsia="Courier New" w:hAnsi="Courier New"/>
          <w:sz w:val="22"/>
          <w:szCs w:val="22"/>
        </w:rPr>
        <w:t xml:space="preserve">  FOR step = 1 TO T:</w:t>
      </w:r>
    </w:p>
    <w:p>
      <w:pPr>
        <w:spacing w:after="180" w:line="360"/>
      </w:pPr>
      <w:r>
        <w:rPr>
          <w:rFonts w:ascii="Courier New" w:cs="Courier New" w:eastAsia="Courier New" w:hAnsi="Courier New"/>
          <w:sz w:val="22"/>
          <w:szCs w:val="22"/>
        </w:rPr>
        <w:t xml:space="preserve">    FOR each variable v in (parameters ∪ controls ∪ exogenous):</w:t>
      </w:r>
    </w:p>
    <w:p>
      <w:pPr>
        <w:spacing w:after="180" w:line="360"/>
      </w:pPr>
      <w:r>
        <w:rPr>
          <w:rFonts w:ascii="Courier New" w:cs="Courier New" w:eastAsia="Courier New" w:hAnsi="Courier New"/>
          <w:sz w:val="22"/>
          <w:szCs w:val="22"/>
        </w:rPr>
        <w:t xml:space="preserve">      state[v] ← SAMPLE(v.distribution, v.params, state)</w:t>
      </w:r>
    </w:p>
    <w:p>
      <w:pPr>
        <w:spacing w:after="180" w:line="360"/>
      </w:pPr>
      <w:r>
        <w:rPr>
          <w:rFonts w:ascii="Courier New" w:cs="Courier New" w:eastAsia="Courier New" w:hAnsi="Courier New"/>
          <w:sz w:val="22"/>
          <w:szCs w:val="22"/>
        </w:rPr>
        <w:t xml:space="preserve">    FOR each logic rule (target, expr) in step_logic:</w:t>
      </w:r>
    </w:p>
    <w:p>
      <w:pPr>
        <w:spacing w:after="180" w:line="360"/>
      </w:pPr>
      <w:r>
        <w:rPr>
          <w:rFonts w:ascii="Courier New" w:cs="Courier New" w:eastAsia="Courier New" w:hAnsi="Courier New"/>
          <w:sz w:val="22"/>
          <w:szCs w:val="22"/>
        </w:rPr>
        <w:t xml:space="preserve">      state[target] ← EVAL(expr, state)</w:t>
      </w:r>
    </w:p>
    <w:p>
      <w:pPr>
        <w:spacing w:after="180" w:line="360"/>
      </w:pPr>
      <w:r>
        <w:rPr>
          <w:rFonts w:ascii="Courier New" w:cs="Courier New" w:eastAsia="Courier New" w:hAnsi="Courier New"/>
          <w:sz w:val="22"/>
          <w:szCs w:val="22"/>
        </w:rPr>
        <w:t xml:space="preserve">    FOR each accumulator (name, expr) in accumulators:</w:t>
      </w:r>
    </w:p>
    <w:p>
      <w:pPr>
        <w:spacing w:after="180" w:line="360"/>
      </w:pPr>
      <w:r>
        <w:rPr>
          <w:rFonts w:ascii="Courier New" w:cs="Courier New" w:eastAsia="Courier New" w:hAnsi="Courier New"/>
          <w:sz w:val="22"/>
          <w:szCs w:val="22"/>
        </w:rPr>
        <w:t xml:space="preserve">      state[name] ← EVAL(expr, state)</w:t>
      </w:r>
    </w:p>
    <w:p>
      <w:pPr>
        <w:spacing w:after="180" w:line="360"/>
      </w:pPr>
      <w:r>
        <w:rPr>
          <w:rFonts w:ascii="Courier New" w:cs="Courier New" w:eastAsia="Courier New" w:hAnsi="Courier New"/>
          <w:sz w:val="22"/>
          <w:szCs w:val="22"/>
        </w:rPr>
        <w:t xml:space="preserve">  RETURN state, metrics(state)</w:t>
      </w:r>
    </w:p>
    <w:p>
      <w:pPr>
        <w:pStyle w:val="Heading2"/>
        <w:spacing w:before="300" w:after="150"/>
      </w:pPr>
      <w:r>
        <w:rPr>
          <w:rFonts w:ascii="Arial" w:cs="Arial" w:eastAsia="Arial" w:hAnsi="Arial"/>
        </w:rPr>
        <w:t xml:space="preserve">3.2 Convergence diagnostics</w:t>
      </w:r>
    </w:p>
    <w:p>
      <w:pPr>
        <w:spacing w:after="180" w:line="360"/>
      </w:pPr>
      <w:r>
        <w:rPr>
          <w:rFonts w:ascii="Arial" w:cs="Arial" w:eastAsia="Arial" w:hAnsi="Arial"/>
          <w:sz w:val="24"/>
          <w:szCs w:val="24"/>
        </w:rPr>
        <w:t xml:space="preserve">To justify sample sizes, we run increasing numbers of simulations and measure when the mean estimator’s 95% confidence interval drops below 5% of the mean value. Standard error is computed as SE = σ/√N. We also report mean drift between the two largest checkpoints as a stability measure.</w:t>
      </w:r>
    </w:p>
    <w:p>
      <w:pPr>
        <w:pStyle w:val="Heading2"/>
        <w:spacing w:before="300" w:after="150"/>
      </w:pPr>
      <w:r>
        <w:rPr>
          <w:rFonts w:ascii="Arial" w:cs="Arial" w:eastAsia="Arial" w:hAnsi="Arial"/>
        </w:rPr>
        <w:t xml:space="preserve">3.3 Sensitivity analysis</w:t>
      </w:r>
    </w:p>
    <w:p>
      <w:pPr>
        <w:spacing w:after="180" w:line="360"/>
      </w:pPr>
      <w:r>
        <w:rPr>
          <w:rFonts w:ascii="Arial" w:cs="Arial" w:eastAsia="Arial" w:hAnsi="Arial"/>
          <w:sz w:val="24"/>
          <w:szCs w:val="24"/>
        </w:rPr>
        <w:t xml:space="preserve">We use one-at-a-time (OAT) perturbation: for each numeric parameter, perturb by ±10% of its value, re-run the full Monte Carlo, and measure the change in the target metric. We report: average absolute impact on the mean, elasticity (% change in output per % change in input), and relative importance (normalized so impacts sum to 1). This is a first-order screening method, not a full Sobol variance decomposition; it identifies influential parameters efficiently at O(N × 2k) cost but does not capture interaction effects.</w:t>
      </w:r>
    </w:p>
    <w:p>
      <w:pPr>
        <w:pStyle w:val="Heading2"/>
        <w:spacing w:before="300" w:after="150"/>
      </w:pPr>
      <w:r>
        <w:rPr>
          <w:rFonts w:ascii="Arial" w:cs="Arial" w:eastAsia="Arial" w:hAnsi="Arial"/>
        </w:rPr>
        <w:t xml:space="preserve">3.4 Safety evaluation</w:t>
      </w:r>
    </w:p>
    <w:p>
      <w:pPr>
        <w:spacing w:after="180" w:line="360"/>
      </w:pPr>
      <w:r>
        <w:rPr>
          <w:rFonts w:ascii="Arial" w:cs="Arial" w:eastAsia="Arial" w:hAnsi="Arial"/>
          <w:b/>
          <w:bCs/>
          <w:sz w:val="24"/>
          <w:szCs w:val="24"/>
        </w:rPr>
        <w:t xml:space="preserve">Chance constraints </w:t>
      </w:r>
      <w:r>
        <w:rPr>
          <w:rFonts w:ascii="Arial" w:cs="Arial" w:eastAsia="Arial" w:hAnsi="Arial"/>
          <w:sz w:val="24"/>
          <w:szCs w:val="24"/>
        </w:rPr>
        <w:t xml:space="preserve">bound the probability of catastrophic events: P(annual_revenue &lt; $60,000) ≤ 15%. This threshold reflects the operator’s annual cost basis and maximum tolerable ruin probability.</w:t>
      </w:r>
    </w:p>
    <w:p>
      <w:pPr>
        <w:spacing w:after="180" w:line="360"/>
      </w:pPr>
      <w:r>
        <w:rPr>
          <w:rFonts w:ascii="Arial" w:cs="Arial" w:eastAsia="Arial" w:hAnsi="Arial"/>
          <w:b/>
          <w:bCs/>
          <w:sz w:val="24"/>
          <w:szCs w:val="24"/>
        </w:rPr>
        <w:t xml:space="preserve">CVaR constraints </w:t>
      </w:r>
      <w:r>
        <w:rPr>
          <w:rFonts w:ascii="Arial" w:cs="Arial" w:eastAsia="Arial" w:hAnsi="Arial"/>
          <w:sz w:val="24"/>
          <w:szCs w:val="24"/>
        </w:rPr>
        <w:t xml:space="preserve">bound the expected loss in tail scenarios: CVaR at 10% of final cash must exceed −$25,000. CVaR (Conditional Value at Risk, also called Expected Shortfall) is the mean of the worst α fraction of outcomes and is a coherent risk measure.</w:t>
      </w:r>
    </w:p>
    <w:p>
      <w:pPr>
        <w:spacing w:after="180" w:line="360"/>
      </w:pPr>
      <w:r>
        <w:rPr>
          <w:rFonts w:ascii="Arial" w:cs="Arial" w:eastAsia="Arial" w:hAnsi="Arial"/>
          <w:sz w:val="24"/>
          <w:szCs w:val="24"/>
        </w:rPr>
        <w:t xml:space="preserve">Both constraints are evaluated against the full Monte Carlo sample. The optimizer penalizes strategies that violate constraints, preferentially selecting configurations that satisfy all safety bounds.</w:t>
      </w:r>
    </w:p>
    <w:p>
      <w:pPr>
        <w:pStyle w:val="Heading2"/>
        <w:spacing w:before="300" w:after="150"/>
      </w:pPr>
      <w:r>
        <w:rPr>
          <w:rFonts w:ascii="Arial" w:cs="Arial" w:eastAsia="Arial" w:hAnsi="Arial"/>
        </w:rPr>
        <w:t xml:space="preserve">3.5 Deterministic baseline</w:t>
      </w:r>
    </w:p>
    <w:p>
      <w:pPr>
        <w:spacing w:after="180" w:line="360"/>
      </w:pPr>
      <w:r>
        <w:rPr>
          <w:rFonts w:ascii="Arial" w:cs="Arial" w:eastAsia="Arial" w:hAnsi="Arial"/>
          <w:sz w:val="24"/>
          <w:szCs w:val="24"/>
        </w:rPr>
        <w:t xml:space="preserve">To quantify the value of simulation over point-estimate forecasting, we construct a deterministic baseline using the mode (for triangular), mean (for normal), or median (for log-normal) of each distribution. This produces a single-path projection equivalent to a spreadsheet model. The comparison reveals hidden risk: the gap between the deterministic forecast and the Monte Carlo P10 represents downside exposure invisible to point-estimate methods.</w:t>
      </w:r>
    </w:p>
    <w:p>
      <w:r>
        <w:br w:type="page"/>
      </w:r>
    </w:p>
    <w:p>
      <w:pPr>
        <w:pStyle w:val="Heading1"/>
        <w:spacing w:before="400" w:after="200"/>
      </w:pPr>
      <w:r>
        <w:rPr>
          <w:rFonts w:ascii="Arial" w:cs="Arial" w:eastAsia="Arial" w:hAnsi="Arial"/>
        </w:rPr>
        <w:t xml:space="preserve">4. Experimental Results</w:t>
      </w:r>
    </w:p>
    <w:p>
      <w:pPr>
        <w:spacing w:after="180" w:line="360"/>
      </w:pPr>
      <w:r>
        <w:rPr>
          <w:rFonts w:ascii="Arial" w:cs="Arial" w:eastAsia="Arial" w:hAnsi="Arial"/>
          <w:sz w:val="24"/>
          <w:szCs w:val="24"/>
        </w:rPr>
        <w:t xml:space="preserve">All experiments use kernel v3.0.0 with seed=42 unless otherwise noted. Run counts, seeds, and configuration hashes are recorded in experiment manifests. The primary domain is the Venture Horizon business pipeline; two secondary domains demonstrate generalization.</w:t>
      </w:r>
    </w:p>
    <w:p>
      <w:pPr>
        <w:pStyle w:val="Heading2"/>
        <w:spacing w:before="300" w:after="150"/>
      </w:pPr>
      <w:r>
        <w:rPr>
          <w:rFonts w:ascii="Arial" w:cs="Arial" w:eastAsia="Arial" w:hAnsi="Arial"/>
        </w:rPr>
        <w:t xml:space="preserve">4.1 Convergence diagnostics</w:t>
      </w:r>
    </w:p>
    <w:p>
      <w:pPr>
        <w:spacing w:after="180" w:line="360"/>
      </w:pPr>
      <w:r>
        <w:rPr>
          <w:rFonts w:ascii="Arial" w:cs="Arial" w:eastAsia="Arial" w:hAnsi="Arial"/>
          <w:sz w:val="24"/>
          <w:szCs w:val="24"/>
        </w:rPr>
        <w:t xml:space="preserve">We ran 15,000 simulations of the business pipeline and computed statistics at 10 checkpoints from N=100 to N=15,000.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400"/>
        <w:gridCol w:w="1200"/>
        <w:gridCol w:w="1400"/>
        <w:gridCol w:w="1360"/>
      </w:tblGrid>
      <w:tr>
        <w:tc>
          <w:tcPr>
            <w:tcW w:type="dxa" w:w="12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sz w:val="22"/>
                <w:szCs w:val="22"/>
              </w:rPr>
              <w:t xml:space="preserve">N</w:t>
            </w:r>
          </w:p>
        </w:tc>
        <w:tc>
          <w:tcPr>
            <w:tcW w:type="dxa" w:w="14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sz w:val="22"/>
                <w:szCs w:val="22"/>
              </w:rPr>
              <w:t xml:space="preserve">Mean ($)</w:t>
            </w:r>
          </w:p>
        </w:tc>
        <w:tc>
          <w:tcPr>
            <w:tcW w:type="dxa" w:w="14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sz w:val="22"/>
                <w:szCs w:val="22"/>
              </w:rPr>
              <w:t xml:space="preserve">Median ($)</w:t>
            </w:r>
          </w:p>
        </w:tc>
        <w:tc>
          <w:tcPr>
            <w:tcW w:type="dxa" w:w="14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sz w:val="22"/>
                <w:szCs w:val="22"/>
              </w:rPr>
              <w:t xml:space="preserve">SE(mean)</w:t>
            </w:r>
          </w:p>
        </w:tc>
        <w:tc>
          <w:tcPr>
            <w:tcW w:type="dxa" w:w="12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sz w:val="22"/>
                <w:szCs w:val="22"/>
              </w:rPr>
              <w:t xml:space="preserve">CI95%</w:t>
            </w:r>
          </w:p>
        </w:tc>
        <w:tc>
          <w:tcPr>
            <w:tcW w:type="dxa" w:w="14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sz w:val="22"/>
                <w:szCs w:val="22"/>
              </w:rPr>
              <w:t xml:space="preserve">P10 ($)</w:t>
            </w:r>
          </w:p>
        </w:tc>
        <w:tc>
          <w:tcPr>
            <w:tcW w:type="dxa" w:w="136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sz w:val="22"/>
                <w:szCs w:val="22"/>
              </w:rPr>
              <w:t xml:space="preserve">P90 ($)</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100</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63,748</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63,821</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2,238</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6.9%</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37,084</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92,163</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250</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62,269</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57,718</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1,439</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4.5%</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37,299</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94,521</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500</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61,044</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57,230</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1,032</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3.3%</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34,193</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89,624</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1,000</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61,587</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57,366</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756</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2.4%</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34,079</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93,513</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5,000</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61,103</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57,530</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328</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1.1%</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34,738</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92,691</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10,000</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61,193</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57,697</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230</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0.7%</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34,975</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92,687</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15,000</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61,335</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57,963</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188</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0.6%</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35,106</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92,285</w:t>
            </w:r>
          </w:p>
        </w:tc>
      </w:tr>
    </w:tbl>
    <w:p>
      <w:pPr>
        <w:spacing w:after="100"/>
      </w:pPr>
    </w:p>
    <w:p>
      <w:pPr>
        <w:spacing w:after="180" w:line="360"/>
      </w:pPr>
      <w:r>
        <w:rPr>
          <w:rFonts w:ascii="Arial" w:cs="Arial" w:eastAsia="Arial" w:hAnsi="Arial"/>
          <w:b/>
          <w:bCs/>
          <w:sz w:val="24"/>
          <w:szCs w:val="24"/>
        </w:rPr>
        <w:t xml:space="preserve">Finding: </w:t>
      </w:r>
      <w:r>
        <w:rPr>
          <w:rFonts w:ascii="Arial" w:cs="Arial" w:eastAsia="Arial" w:hAnsi="Arial"/>
          <w:sz w:val="24"/>
          <w:szCs w:val="24"/>
        </w:rPr>
        <w:t xml:space="preserve">Convergence is achieved at N=250 by the CI95 &lt; 5% criterion. At N=5,000 (our standard run count), the confidence interval is 1.1% and the mean drift between the 10,000 and 15,000 checkpoints is 0.23%. The default sample size is justified.</w:t>
      </w:r>
    </w:p>
    <w:p>
      <w:pPr>
        <w:pStyle w:val="Heading2"/>
        <w:spacing w:before="300" w:after="150"/>
      </w:pPr>
      <w:r>
        <w:rPr>
          <w:rFonts w:ascii="Arial" w:cs="Arial" w:eastAsia="Arial" w:hAnsi="Arial"/>
        </w:rPr>
        <w:t xml:space="preserve">4.2 Sensitivity analysis</w:t>
      </w:r>
    </w:p>
    <w:p>
      <w:pPr>
        <w:spacing w:after="180" w:line="360"/>
      </w:pPr>
      <w:r>
        <w:rPr>
          <w:rFonts w:ascii="Arial" w:cs="Arial" w:eastAsia="Arial" w:hAnsi="Arial"/>
          <w:sz w:val="24"/>
          <w:szCs w:val="24"/>
        </w:rPr>
        <w:t xml:space="preserve">OAT perturbation (±10%) on the business pipeline, targeting annual_revenue: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1400"/>
        <w:gridCol w:w="1400"/>
        <w:gridCol w:w="1200"/>
        <w:gridCol w:w="1660"/>
      </w:tblGrid>
      <w:tr>
        <w:tc>
          <w:tcPr>
            <w:tcW w:type="dxa" w:w="6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sz w:val="22"/>
                <w:szCs w:val="22"/>
              </w:rPr>
              <w:t xml:space="preserve">#</w:t>
            </w:r>
          </w:p>
        </w:tc>
        <w:tc>
          <w:tcPr>
            <w:tcW w:type="dxa" w:w="31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sz w:val="22"/>
                <w:szCs w:val="22"/>
              </w:rPr>
              <w:t xml:space="preserve">Variable.Parameter</w:t>
            </w:r>
          </w:p>
        </w:tc>
        <w:tc>
          <w:tcPr>
            <w:tcW w:type="dxa" w:w="14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sz w:val="22"/>
                <w:szCs w:val="22"/>
              </w:rPr>
              <w:t xml:space="preserve">Base value</w:t>
            </w:r>
          </w:p>
        </w:tc>
        <w:tc>
          <w:tcPr>
            <w:tcW w:type="dxa" w:w="14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sz w:val="22"/>
                <w:szCs w:val="22"/>
              </w:rPr>
              <w:t xml:space="preserve">Impact ($)</w:t>
            </w:r>
          </w:p>
        </w:tc>
        <w:tc>
          <w:tcPr>
            <w:tcW w:type="dxa" w:w="12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sz w:val="22"/>
                <w:szCs w:val="22"/>
              </w:rPr>
              <w:t xml:space="preserve">Elasticity</w:t>
            </w:r>
          </w:p>
        </w:tc>
        <w:tc>
          <w:tcPr>
            <w:tcW w:type="dxa" w:w="166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sz w:val="22"/>
                <w:szCs w:val="22"/>
              </w:rPr>
              <w:t xml:space="preserve">Rel. importance</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1</w:t>
            </w:r>
          </w:p>
        </w:tc>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project_value.median</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$3,000</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$6,426</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1.053</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22.6%</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2</w:t>
            </w:r>
          </w:p>
        </w:tc>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leads.high</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8</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$4,127</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0.676</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14.5%</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3</w:t>
            </w:r>
          </w:p>
        </w:tc>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close_rate.high</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0.55</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$3,690</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0.605</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13.0%</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4</w:t>
            </w:r>
          </w:p>
        </w:tc>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project_value.spread</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0.70</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$3,135</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0.514</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11.0%</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5</w:t>
            </w:r>
          </w:p>
        </w:tc>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close_rate.mode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0.30</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$2,261</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0.370</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8.0%</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6</w:t>
            </w:r>
          </w:p>
        </w:tc>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leads.mode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3</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$2,029</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0.332</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7.1%</w:t>
            </w:r>
          </w:p>
        </w:tc>
      </w:tr>
    </w:tbl>
    <w:p>
      <w:pPr>
        <w:spacing w:after="100"/>
      </w:pPr>
    </w:p>
    <w:p>
      <w:pPr>
        <w:spacing w:after="180" w:line="360"/>
      </w:pPr>
      <w:r>
        <w:rPr>
          <w:rFonts w:ascii="Arial" w:cs="Arial" w:eastAsia="Arial" w:hAnsi="Arial"/>
          <w:b/>
          <w:bCs/>
          <w:sz w:val="24"/>
          <w:szCs w:val="24"/>
        </w:rPr>
        <w:t xml:space="preserve">Finding: </w:t>
      </w:r>
      <w:r>
        <w:rPr>
          <w:rFonts w:ascii="Arial" w:cs="Arial" w:eastAsia="Arial" w:hAnsi="Arial"/>
          <w:sz w:val="24"/>
          <w:szCs w:val="24"/>
        </w:rPr>
        <w:t xml:space="preserve">Project value median is the dominant driver with elasticity &gt;1 (a 10% increase in median project value produces an 10.5% increase in mean annual revenue). This independently confirms the optimizer’s convergence toward higher-value projects as the primary strategic lever. The top three parameters (project value, lead ceiling, close-rate ceiling) account for 50.1% of total output sensitivity.</w:t>
      </w:r>
    </w:p>
    <w:p>
      <w:pPr>
        <w:pStyle w:val="Heading2"/>
        <w:spacing w:before="300" w:after="150"/>
      </w:pPr>
      <w:r>
        <w:rPr>
          <w:rFonts w:ascii="Arial" w:cs="Arial" w:eastAsia="Arial" w:hAnsi="Arial"/>
        </w:rPr>
        <w:t xml:space="preserve">4.3 Deterministic baseline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sz w:val="22"/>
                <w:szCs w:val="22"/>
              </w:rPr>
              <w:t xml:space="preserve">Metric</w:t>
            </w:r>
          </w:p>
        </w:tc>
        <w:tc>
          <w:tcPr>
            <w:tcW w:type="dxa" w:w="1755"/>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sz w:val="22"/>
                <w:szCs w:val="22"/>
              </w:rPr>
              <w:t xml:space="preserve">Deterministic</w:t>
            </w:r>
          </w:p>
        </w:tc>
        <w:tc>
          <w:tcPr>
            <w:tcW w:type="dxa" w:w="1755"/>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sz w:val="22"/>
                <w:szCs w:val="22"/>
              </w:rPr>
              <w:t xml:space="preserve">MC Mean</w:t>
            </w:r>
          </w:p>
        </w:tc>
        <w:tc>
          <w:tcPr>
            <w:tcW w:type="dxa" w:w="1755"/>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sz w:val="22"/>
                <w:szCs w:val="22"/>
              </w:rPr>
              <w:t xml:space="preserve">MC P10</w:t>
            </w:r>
          </w:p>
        </w:tc>
        <w:tc>
          <w:tcPr>
            <w:tcW w:type="dxa" w:w="1755"/>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sz w:val="22"/>
                <w:szCs w:val="22"/>
              </w:rPr>
              <w:t xml:space="preserve">MC P90</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Revenue</w:t>
            </w:r>
          </w:p>
        </w:tc>
        <w:tc>
          <w:tcPr>
            <w:tcW w:type="dxa" w:w="175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$33,000</w:t>
            </w:r>
          </w:p>
        </w:tc>
        <w:tc>
          <w:tcPr>
            <w:tcW w:type="dxa" w:w="175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$61,103</w:t>
            </w:r>
          </w:p>
        </w:tc>
        <w:tc>
          <w:tcPr>
            <w:tcW w:type="dxa" w:w="175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$34,738</w:t>
            </w:r>
          </w:p>
        </w:tc>
        <w:tc>
          <w:tcPr>
            <w:tcW w:type="dxa" w:w="175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$92,691</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Final cash</w:t>
            </w:r>
          </w:p>
        </w:tc>
        <w:tc>
          <w:tcPr>
            <w:tcW w:type="dxa" w:w="175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-$27,000</w:t>
            </w:r>
          </w:p>
        </w:tc>
        <w:tc>
          <w:tcPr>
            <w:tcW w:type="dxa" w:w="175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$1,103</w:t>
            </w:r>
          </w:p>
        </w:tc>
        <w:tc>
          <w:tcPr>
            <w:tcW w:type="dxa" w:w="175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-$25,262</w:t>
            </w:r>
          </w:p>
        </w:tc>
        <w:tc>
          <w:tcPr>
            <w:tcW w:type="dxa" w:w="175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$32,691</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Deals</w:t>
            </w:r>
          </w:p>
        </w:tc>
        <w:tc>
          <w:tcPr>
            <w:tcW w:type="dxa" w:w="175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11</w:t>
            </w:r>
          </w:p>
        </w:tc>
        <w:tc>
          <w:tcPr>
            <w:tcW w:type="dxa" w:w="175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16</w:t>
            </w:r>
          </w:p>
        </w:tc>
        <w:tc>
          <w:tcPr>
            <w:tcW w:type="dxa" w:w="175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11</w:t>
            </w:r>
          </w:p>
        </w:tc>
        <w:tc>
          <w:tcPr>
            <w:tcW w:type="dxa" w:w="175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21</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Utilization</w:t>
            </w:r>
          </w:p>
        </w:tc>
        <w:tc>
          <w:tcPr>
            <w:tcW w:type="dxa" w:w="175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23%</w:t>
            </w:r>
          </w:p>
        </w:tc>
        <w:tc>
          <w:tcPr>
            <w:tcW w:type="dxa" w:w="175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49%</w:t>
            </w:r>
          </w:p>
        </w:tc>
        <w:tc>
          <w:tcPr>
            <w:tcW w:type="dxa" w:w="175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32%</w:t>
            </w:r>
          </w:p>
        </w:tc>
        <w:tc>
          <w:tcPr>
            <w:tcW w:type="dxa" w:w="175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67%</w:t>
            </w:r>
          </w:p>
        </w:tc>
      </w:tr>
    </w:tbl>
    <w:p>
      <w:pPr>
        <w:spacing w:after="100"/>
      </w:pPr>
    </w:p>
    <w:p>
      <w:pPr>
        <w:spacing w:after="180" w:line="360"/>
      </w:pPr>
      <w:r>
        <w:rPr>
          <w:rFonts w:ascii="Arial" w:cs="Arial" w:eastAsia="Arial" w:hAnsi="Arial"/>
          <w:b/>
          <w:bCs/>
          <w:sz w:val="24"/>
          <w:szCs w:val="24"/>
        </w:rPr>
        <w:t xml:space="preserve">Finding: </w:t>
      </w:r>
      <w:r>
        <w:rPr>
          <w:rFonts w:ascii="Arial" w:cs="Arial" w:eastAsia="Arial" w:hAnsi="Arial"/>
          <w:sz w:val="24"/>
          <w:szCs w:val="24"/>
        </w:rPr>
        <w:t xml:space="preserve">The deterministic baseline predicts $33,000 in annual revenue—approximately half the Monte Carlo mean of $61,103. This discrepancy arises because the deterministic approach uses distribution modes, which underestimate the right-skewed log-normal project value distribution. More critically, the deterministic forecast hides $26,000 of downside risk (the gap between $33,000 and the Monte Carlo P10 of $34,738 is small, but the $27,000 cash deficit is invisible without simulation). This quantifies the concrete value of distributional analysis over spreadsheet forecasting.</w:t>
      </w:r>
    </w:p>
    <w:p>
      <w:pPr>
        <w:pStyle w:val="Heading2"/>
        <w:spacing w:before="300" w:after="150"/>
      </w:pPr>
      <w:r>
        <w:rPr>
          <w:rFonts w:ascii="Arial" w:cs="Arial" w:eastAsia="Arial" w:hAnsi="Arial"/>
        </w:rPr>
        <w:t xml:space="preserve">4.4 Safety-constrained evolutionary optimization</w:t>
      </w:r>
    </w:p>
    <w:p>
      <w:pPr>
        <w:spacing w:after="180" w:line="360"/>
      </w:pPr>
      <w:r>
        <w:rPr>
          <w:rFonts w:ascii="Arial" w:cs="Arial" w:eastAsia="Arial" w:hAnsi="Arial"/>
          <w:sz w:val="24"/>
          <w:szCs w:val="24"/>
        </w:rPr>
        <w:t xml:space="preserve">The baseline configuration fails the chance constraint: P(annual_revenue &lt; $60,000) = 35.5%, exceeding the 15% maximum. We ran the constrained optimizer for 6 generations with population 8, safety constraints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800"/>
        <w:gridCol w:w="1200"/>
        <w:gridCol w:w="1400"/>
        <w:gridCol w:w="1200"/>
        <w:gridCol w:w="1160"/>
      </w:tblGrid>
      <w:tr>
        <w:tc>
          <w:tcPr>
            <w:tcW w:type="dxa" w:w="14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sz w:val="22"/>
                <w:szCs w:val="22"/>
              </w:rPr>
              <w:t xml:space="preserve">Gen</w:t>
            </w:r>
          </w:p>
        </w:tc>
        <w:tc>
          <w:tcPr>
            <w:tcW w:type="dxa" w:w="12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sz w:val="22"/>
                <w:szCs w:val="22"/>
              </w:rPr>
              <w:t xml:space="preserve">Best fit</w:t>
            </w:r>
          </w:p>
        </w:tc>
        <w:tc>
          <w:tcPr>
            <w:tcW w:type="dxa" w:w="18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sz w:val="22"/>
                <w:szCs w:val="22"/>
              </w:rPr>
              <w:t xml:space="preserve">Revenue med.</w:t>
            </w:r>
          </w:p>
        </w:tc>
        <w:tc>
          <w:tcPr>
            <w:tcW w:type="dxa" w:w="12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sz w:val="22"/>
                <w:szCs w:val="22"/>
              </w:rPr>
              <w:t xml:space="preserve">P(ruin)</w:t>
            </w:r>
          </w:p>
        </w:tc>
        <w:tc>
          <w:tcPr>
            <w:tcW w:type="dxa" w:w="14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sz w:val="22"/>
                <w:szCs w:val="22"/>
              </w:rPr>
              <w:t xml:space="preserve">CVaR(10%)</w:t>
            </w:r>
          </w:p>
        </w:tc>
        <w:tc>
          <w:tcPr>
            <w:tcW w:type="dxa" w:w="12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sz w:val="22"/>
                <w:szCs w:val="22"/>
              </w:rPr>
              <w:t xml:space="preserve">Safe/Pop</w:t>
            </w:r>
          </w:p>
        </w:tc>
        <w:tc>
          <w:tcPr>
            <w:tcW w:type="dxa" w:w="116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sz w:val="22"/>
                <w:szCs w:val="22"/>
              </w:rPr>
              <w:t xml:space="preserve">Time (s)</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0</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92.8</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$173,553</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0.1%</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$35,682</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3/8</w:t>
            </w:r>
          </w:p>
        </w:tc>
        <w:tc>
          <w:tcPr>
            <w:tcW w:type="dxa" w:w="1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11</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1</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92.8</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$174,061</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0.1%</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$35,695</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6/8</w:t>
            </w:r>
          </w:p>
        </w:tc>
        <w:tc>
          <w:tcPr>
            <w:tcW w:type="dxa" w:w="1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11</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2</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94.6</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$110,902</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7.6%</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-$7,357</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8/8</w:t>
            </w:r>
          </w:p>
        </w:tc>
        <w:tc>
          <w:tcPr>
            <w:tcW w:type="dxa" w:w="1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11</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3</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94.6</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$108,821</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6.5%</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-$5,192</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7/8</w:t>
            </w:r>
          </w:p>
        </w:tc>
        <w:tc>
          <w:tcPr>
            <w:tcW w:type="dxa" w:w="1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11</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4</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95.3</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$148,940</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1.8%</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$12,403</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8/8</w:t>
            </w:r>
          </w:p>
        </w:tc>
        <w:tc>
          <w:tcPr>
            <w:tcW w:type="dxa" w:w="1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11</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5</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95.3</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$150,238</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1.2%</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$16,497</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8/8</w:t>
            </w:r>
          </w:p>
        </w:tc>
        <w:tc>
          <w:tcPr>
            <w:tcW w:type="dxa" w:w="1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11</w:t>
            </w:r>
          </w:p>
        </w:tc>
      </w:tr>
    </w:tbl>
    <w:p>
      <w:pPr>
        <w:spacing w:after="100"/>
      </w:pPr>
    </w:p>
    <w:p>
      <w:pPr>
        <w:spacing w:after="180" w:line="360"/>
      </w:pPr>
      <w:r>
        <w:rPr>
          <w:rFonts w:ascii="Arial" w:cs="Arial" w:eastAsia="Arial" w:hAnsi="Arial"/>
          <w:b/>
          <w:bCs/>
          <w:sz w:val="24"/>
          <w:szCs w:val="24"/>
        </w:rPr>
        <w:t xml:space="preserve">Winning strategy: </w:t>
      </w:r>
      <w:r>
        <w:rPr>
          <w:rFonts w:ascii="Arial" w:cs="Arial" w:eastAsia="Arial" w:hAnsi="Arial"/>
          <w:sz w:val="24"/>
          <w:szCs w:val="24"/>
        </w:rPr>
        <w:t xml:space="preserve">Close rate mode 31% (vs 30% baseline), project value median $7,639 (vs $3,000), hours/project max 64h (vs 120h). Ruin probability 1.8% (within 15% bound). CVaR(10%) cash $12,403 (well above -$25,000 floor).</w:t>
      </w:r>
    </w:p>
    <w:p>
      <w:pPr>
        <w:spacing w:after="180" w:line="360"/>
      </w:pPr>
      <w:r>
        <w:rPr>
          <w:rFonts w:ascii="Arial" w:cs="Arial" w:eastAsia="Arial" w:hAnsi="Arial"/>
          <w:b/>
          <w:bCs/>
          <w:sz w:val="24"/>
          <w:szCs w:val="24"/>
        </w:rPr>
        <w:t xml:space="preserve">Finding: </w:t>
      </w:r>
      <w:r>
        <w:rPr>
          <w:rFonts w:ascii="Arial" w:cs="Arial" w:eastAsia="Arial" w:hAnsi="Arial"/>
          <w:sz w:val="24"/>
          <w:szCs w:val="24"/>
        </w:rPr>
        <w:t xml:space="preserve">The optimizer independently converged on a strategy consistent with established service-business principles: higher value per engagement, tighter scope, and selective client acceptance. This is not a novel strategic discovery—it is a well-documented principle in service-business literature. The system’s contribution is that it arrived at this strategy through evolutionary search rather than expert instruction, and that it produced the strategy with formal safety guarantees attached.</w:t>
      </w:r>
    </w:p>
    <w:p>
      <w:pPr>
        <w:spacing w:after="180" w:line="360"/>
      </w:pPr>
      <w:r>
        <w:rPr>
          <w:rFonts w:ascii="Arial" w:cs="Arial" w:eastAsia="Arial" w:hAnsi="Arial"/>
          <w:sz w:val="24"/>
          <w:szCs w:val="24"/>
        </w:rPr>
        <w:t xml:space="preserve">Population safety improved from 3/8 passing in generation 0 to 8/8 by generation 2, demonstrating that the constrained optimizer actively steers the population toward safe configurations.</w:t>
      </w:r>
    </w:p>
    <w:p>
      <w:pPr>
        <w:pStyle w:val="Heading2"/>
        <w:spacing w:before="300" w:after="150"/>
      </w:pPr>
      <w:r>
        <w:rPr>
          <w:rFonts w:ascii="Arial" w:cs="Arial" w:eastAsia="Arial" w:hAnsi="Arial"/>
        </w:rPr>
        <w:t xml:space="preserve">4.5 Adversarial evaluation</w:t>
      </w:r>
    </w:p>
    <w:p>
      <w:pPr>
        <w:spacing w:after="180" w:line="360"/>
      </w:pPr>
      <w:r>
        <w:rPr>
          <w:rFonts w:ascii="Arial" w:cs="Arial" w:eastAsia="Arial" w:hAnsi="Arial"/>
          <w:sz w:val="24"/>
          <w:szCs w:val="24"/>
        </w:rPr>
        <w:t xml:space="preserve">We tested a “free lunch” attack strategy: close rate pushed to 40–55–70% (vs baseline 15–30–55%), project value median $12,000 (vs $3,000), and hours/project capped at 35h (vs 120h). This simulates an optimizer or user exploiting modeling assumptions to produce unrealistically favorable outcomes.</w:t>
      </w:r>
    </w:p>
    <w:p>
      <w:pPr>
        <w:spacing w:after="180" w:line="360"/>
      </w:pPr>
      <w:r>
        <w:rPr>
          <w:rFonts w:ascii="Arial" w:cs="Arial" w:eastAsia="Arial" w:hAnsi="Arial"/>
          <w:b/>
          <w:bCs/>
          <w:sz w:val="24"/>
          <w:szCs w:val="24"/>
        </w:rPr>
        <w:t xml:space="preserve">Attack result: </w:t>
      </w:r>
      <w:r>
        <w:rPr>
          <w:rFonts w:ascii="Arial" w:cs="Arial" w:eastAsia="Arial" w:hAnsi="Arial"/>
          <w:sz w:val="24"/>
          <w:szCs w:val="24"/>
        </w:rPr>
        <w:t xml:space="preserve">Median revenue $386,715. Ruin probability 0.0%. CVaR cash $201,350. All safety constraints pass.</w:t>
      </w:r>
    </w:p>
    <w:p>
      <w:pPr>
        <w:spacing w:after="180" w:line="360"/>
      </w:pPr>
      <w:r>
        <w:rPr>
          <w:rFonts w:ascii="Arial" w:cs="Arial" w:eastAsia="Arial" w:hAnsi="Arial"/>
          <w:b/>
          <w:bCs/>
          <w:sz w:val="24"/>
          <w:szCs w:val="24"/>
        </w:rPr>
        <w:t xml:space="preserve">Defense result: </w:t>
      </w:r>
      <w:r>
        <w:rPr>
          <w:rFonts w:ascii="Arial" w:cs="Arial" w:eastAsia="Arial" w:hAnsi="Arial"/>
          <w:sz w:val="24"/>
          <w:szCs w:val="24"/>
        </w:rPr>
        <w:t xml:space="preserve">Despite passing safety constraints, the attack strategy scored a fitness of 93.88 compared to the constrained winner’s 95.3. The multi-objective fitness function penalizes extreme configurations through its capacity and balance components.</w:t>
      </w:r>
    </w:p>
    <w:p>
      <w:pPr>
        <w:spacing w:after="180" w:line="360"/>
      </w:pPr>
      <w:r>
        <w:rPr>
          <w:rFonts w:ascii="Arial" w:cs="Arial" w:eastAsia="Arial" w:hAnsi="Arial"/>
          <w:b/>
          <w:bCs/>
          <w:sz w:val="24"/>
          <w:szCs w:val="24"/>
        </w:rPr>
        <w:t xml:space="preserve">Finding: </w:t>
      </w:r>
      <w:r>
        <w:rPr>
          <w:rFonts w:ascii="Arial" w:cs="Arial" w:eastAsia="Arial" w:hAnsi="Arial"/>
          <w:sz w:val="24"/>
          <w:szCs w:val="24"/>
        </w:rPr>
        <w:t xml:space="preserve">The current defense has two layers: (1) safety constraints catch strategies with unacceptable tail risk, and (2) multi-objective fitness penalizes extreme imbalance. However, neither layer prevents a sufficiently extreme but internally consistent “free lunch” strategy from scoring well. This reveals a design gap: the system needs explicit input plausibility constraints—hard bounds on parameter combinations derived from domain expertise or market data—as a third defense layer. This is documented as a required enhancement in Section 8.</w:t>
      </w:r>
    </w:p>
    <w:p>
      <w:pPr>
        <w:pStyle w:val="Heading2"/>
        <w:spacing w:before="300" w:after="150"/>
      </w:pPr>
      <w:r>
        <w:rPr>
          <w:rFonts w:ascii="Arial" w:cs="Arial" w:eastAsia="Arial" w:hAnsi="Arial"/>
        </w:rPr>
        <w:t xml:space="preserve">4.6 Secondary domains</w:t>
      </w:r>
    </w:p>
    <w:p>
      <w:pPr>
        <w:pStyle w:val="Heading3"/>
        <w:spacing w:before="200" w:after="100"/>
      </w:pPr>
      <w:r>
        <w:rPr>
          <w:rFonts w:ascii="Arial" w:cs="Arial" w:eastAsia="Arial" w:hAnsi="Arial"/>
        </w:rPr>
        <w:t xml:space="preserve">4.6.1 Job search strategy</w:t>
      </w:r>
    </w:p>
    <w:p>
      <w:pPr>
        <w:spacing w:after="180" w:line="360"/>
      </w:pPr>
      <w:r>
        <w:rPr>
          <w:rFonts w:ascii="Arial" w:cs="Arial" w:eastAsia="Arial" w:hAnsi="Arial"/>
          <w:sz w:val="24"/>
          <w:szCs w:val="24"/>
        </w:rPr>
        <w:t xml:space="preserve">26-week simulation with uncertain application volume, screen rates, interview conversion, and salary offers. 5,000 runs produced: median 8 total offers, median best salary $109,838, median 3 weeks to first offer. The savings model correctly tracks depletion against an $800/week burn rate, with the burn applying only to weeks where the searcher has not yet received an offer (the “still_searching” flag gates the cost).</w:t>
      </w:r>
    </w:p>
    <w:p>
      <w:pPr>
        <w:pStyle w:val="Heading3"/>
        <w:spacing w:before="200" w:after="100"/>
      </w:pPr>
      <w:r>
        <w:rPr>
          <w:rFonts w:ascii="Arial" w:cs="Arial" w:eastAsia="Arial" w:hAnsi="Arial"/>
        </w:rPr>
        <w:t xml:space="preserve">4.6.2 Investment portfolio</w:t>
      </w:r>
    </w:p>
    <w:p>
      <w:pPr>
        <w:spacing w:after="180" w:line="360"/>
      </w:pPr>
      <w:r>
        <w:rPr>
          <w:rFonts w:ascii="Arial" w:cs="Arial" w:eastAsia="Arial" w:hAnsi="Arial"/>
          <w:sz w:val="24"/>
          <w:szCs w:val="24"/>
        </w:rPr>
        <w:t xml:space="preserve">10-year simulation (120 monthly timesteps) with two model variants. The original model used normal monthly returns (μ=0.7%, σ=4%); the revised model uses Student’s t-distributed returns (df=5, scale=3.5%) to capture fat tails documented in decades of empirical finance research. Fat-tailed returns increased P90 maximum drawdown from 20% to 26%, confirming that normal-distribution assumptions systematically underestimate tail risk.</w:t>
      </w:r>
    </w:p>
    <w:p>
      <w:r>
        <w:br w:type="page"/>
      </w:r>
    </w:p>
    <w:p>
      <w:pPr>
        <w:pStyle w:val="Heading1"/>
        <w:spacing w:before="400" w:after="200"/>
      </w:pPr>
      <w:r>
        <w:rPr>
          <w:rFonts w:ascii="Arial" w:cs="Arial" w:eastAsia="Arial" w:hAnsi="Arial"/>
        </w:rPr>
        <w:t xml:space="preserve">5. Input Calibration and Data Sources</w:t>
      </w:r>
    </w:p>
    <w:p>
      <w:pPr>
        <w:spacing w:after="180" w:line="360"/>
      </w:pPr>
      <w:r>
        <w:rPr>
          <w:rFonts w:ascii="Arial" w:cs="Arial" w:eastAsia="Arial" w:hAnsi="Arial"/>
          <w:sz w:val="24"/>
          <w:szCs w:val="24"/>
        </w:rPr>
        <w:t xml:space="preserve">Simulation quality is bounded by input quality. This section documents the calibration basis for each domain, addressing the core reviewer concern: “Validated against what?”</w:t>
      </w:r>
    </w:p>
    <w:p>
      <w:pPr>
        <w:pStyle w:val="Heading2"/>
        <w:spacing w:before="300" w:after="150"/>
      </w:pPr>
      <w:r>
        <w:rPr>
          <w:rFonts w:ascii="Arial" w:cs="Arial" w:eastAsia="Arial" w:hAnsi="Arial"/>
        </w:rPr>
        <w:t xml:space="preserve">5.1 Business pipeline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sz w:val="22"/>
                <w:szCs w:val="22"/>
              </w:rPr>
              <w:t xml:space="preserve">Parameter</w:t>
            </w:r>
          </w:p>
        </w:tc>
        <w:tc>
          <w:tcPr>
            <w:tcW w:type="dxa" w:w="30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sz w:val="22"/>
                <w:szCs w:val="22"/>
              </w:rPr>
              <w:t xml:space="preserve">Distribution</w:t>
            </w:r>
          </w:p>
        </w:tc>
        <w:tc>
          <w:tcPr>
            <w:tcW w:type="dxa" w:w="436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sz w:val="22"/>
                <w:szCs w:val="22"/>
              </w:rPr>
              <w:t xml:space="preserve">Calibration source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Close rate</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Tri(15%, 30%, 55%)</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Operator estimate + SBA small-business benchmarks (20-40% referral-heavy)</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Project value</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LogN($3k, σ=0.7)</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Operator pricing; Clutch.co market data ($3k-$15k SMB range)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Leads/month</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Tri(1, 3, 8)</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Operator estimate; consistent with SBA nonemployer firm revenue data</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Hours/project</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Tri(15, 40, 120)</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Operator historical: brochure site (15h) to full custom build (120h)</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Lead growth</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Fixed 3%/mo</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Assumed organic growth; explicit, not hidden</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Costs</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Fixed $5,000/mo</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Operator actual: $1,500 business + $3,500 living (Delaware CoL)</w:t>
            </w:r>
          </w:p>
        </w:tc>
      </w:tr>
    </w:tbl>
    <w:p>
      <w:pPr>
        <w:spacing w:after="100"/>
      </w:pPr>
    </w:p>
    <w:p>
      <w:pPr>
        <w:spacing w:after="180" w:line="360"/>
      </w:pPr>
      <w:r>
        <w:rPr>
          <w:rFonts w:ascii="Arial" w:cs="Arial" w:eastAsia="Arial" w:hAnsi="Arial"/>
          <w:sz w:val="24"/>
          <w:szCs w:val="24"/>
        </w:rPr>
        <w:t xml:space="preserve">These are expert-elicited priors, not historically fitted parameters. The triangular distribution was chosen because it requires only three intuitive inputs (worst case, most likely, best case) and is a standard choice in expert elicitation. The system is designed to update these distributions as real-world observations accumulate, but no historical backtest has been performed in this version.</w:t>
      </w:r>
    </w:p>
    <w:p>
      <w:pPr>
        <w:pStyle w:val="Heading2"/>
        <w:spacing w:before="300" w:after="150"/>
      </w:pPr>
      <w:r>
        <w:rPr>
          <w:rFonts w:ascii="Arial" w:cs="Arial" w:eastAsia="Arial" w:hAnsi="Arial"/>
        </w:rPr>
        <w:t xml:space="preserve">5.2 Recommended external calibration data</w:t>
      </w:r>
    </w:p>
    <w:p>
      <w:pPr>
        <w:spacing w:after="180" w:line="360"/>
      </w:pPr>
      <w:r>
        <w:rPr>
          <w:rFonts w:ascii="Arial" w:cs="Arial" w:eastAsia="Arial" w:hAnsi="Arial"/>
          <w:sz w:val="24"/>
          <w:szCs w:val="24"/>
        </w:rPr>
        <w:t xml:space="preserve">Future versions should calibrate against: U.S. Bureau of Labor Statistics Current Population Survey for job-search hazard rates and unemployment durations; Kenneth R. French Data Library for equity return distributions and factor benchmarks; U.S. Small Business Administration Office of Advocacy establishment birth/death rates and nonemployer firm statistics; and FRED time series for inflation, interest rates, and macro-regime conditioning.</w:t>
      </w:r>
    </w:p>
    <w:p>
      <w:r>
        <w:br w:type="page"/>
      </w:r>
    </w:p>
    <w:p>
      <w:pPr>
        <w:pStyle w:val="Heading1"/>
        <w:spacing w:before="400" w:after="200"/>
      </w:pPr>
      <w:r>
        <w:rPr>
          <w:rFonts w:ascii="Arial" w:cs="Arial" w:eastAsia="Arial" w:hAnsi="Arial"/>
        </w:rPr>
        <w:t xml:space="preserve">6. Architecture Comparison: v1 Through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sz w:val="22"/>
                <w:szCs w:val="22"/>
              </w:rPr>
              <w:t xml:space="preserve">Component</w:t>
            </w:r>
          </w:p>
        </w:tc>
        <w:tc>
          <w:tcPr>
            <w:tcW w:type="dxa" w:w="252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sz w:val="22"/>
                <w:szCs w:val="22"/>
              </w:rPr>
              <w:t xml:space="preserve">v1 (Hardcoded)</w:t>
            </w:r>
          </w:p>
        </w:tc>
        <w:tc>
          <w:tcPr>
            <w:tcW w:type="dxa" w:w="252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sz w:val="22"/>
                <w:szCs w:val="22"/>
              </w:rPr>
              <w:t xml:space="preserve">v2 (Universal)</w:t>
            </w:r>
          </w:p>
        </w:tc>
        <w:tc>
          <w:tcPr>
            <w:tcW w:type="dxa" w:w="252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sz w:val="22"/>
                <w:szCs w:val="22"/>
              </w:rPr>
              <w:t xml:space="preserve">v3 (Safety-Constrained)</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Schema</w:t>
            </w:r>
          </w:p>
        </w:tc>
        <w:tc>
          <w:tcPr>
            <w:tcW w:type="dxa" w:w="25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Python classes</w:t>
            </w:r>
          </w:p>
        </w:tc>
        <w:tc>
          <w:tcPr>
            <w:tcW w:type="dxa" w:w="25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Flat JSON variables</w:t>
            </w:r>
          </w:p>
        </w:tc>
        <w:tc>
          <w:tcPr>
            <w:tcW w:type="dxa" w:w="25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Typed: params/controls/exog</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Optimizer</w:t>
            </w:r>
          </w:p>
        </w:tc>
        <w:tc>
          <w:tcPr>
            <w:tcW w:type="dxa" w:w="25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GA, no safety</w:t>
            </w:r>
          </w:p>
        </w:tc>
        <w:tc>
          <w:tcPr>
            <w:tcW w:type="dxa" w:w="25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GA, weighted fitness</w:t>
            </w:r>
          </w:p>
        </w:tc>
        <w:tc>
          <w:tcPr>
            <w:tcW w:type="dxa" w:w="25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GA + CVaR + chance constraints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Diagnostics</w:t>
            </w:r>
          </w:p>
        </w:tc>
        <w:tc>
          <w:tcPr>
            <w:tcW w:type="dxa" w:w="25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None</w:t>
            </w:r>
          </w:p>
        </w:tc>
        <w:tc>
          <w:tcPr>
            <w:tcW w:type="dxa" w:w="25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Convergence + sensitivity</w:t>
            </w:r>
          </w:p>
        </w:tc>
        <w:tc>
          <w:tcPr>
            <w:tcW w:type="dxa" w:w="25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Convergence + sensitivity + baseline</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Calibration</w:t>
            </w:r>
          </w:p>
        </w:tc>
        <w:tc>
          <w:tcPr>
            <w:tcW w:type="dxa" w:w="25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None</w:t>
            </w:r>
          </w:p>
        </w:tc>
        <w:tc>
          <w:tcPr>
            <w:tcW w:type="dxa" w:w="25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None</w:t>
            </w:r>
          </w:p>
        </w:tc>
        <w:tc>
          <w:tcPr>
            <w:tcW w:type="dxa" w:w="25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Per-variable metadata</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Reproducibility</w:t>
            </w:r>
          </w:p>
        </w:tc>
        <w:tc>
          <w:tcPr>
            <w:tcW w:type="dxa" w:w="25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None</w:t>
            </w:r>
          </w:p>
        </w:tc>
        <w:tc>
          <w:tcPr>
            <w:tcW w:type="dxa" w:w="25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None</w:t>
            </w:r>
          </w:p>
        </w:tc>
        <w:tc>
          <w:tcPr>
            <w:tcW w:type="dxa" w:w="25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SHA-256 manifest per run</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Security</w:t>
            </w:r>
          </w:p>
        </w:tc>
        <w:tc>
          <w:tcPr>
            <w:tcW w:type="dxa" w:w="25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N/A (hardcoded)</w:t>
            </w:r>
          </w:p>
        </w:tc>
        <w:tc>
          <w:tcPr>
            <w:tcW w:type="dxa" w:w="25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eval() sandbox</w:t>
            </w:r>
          </w:p>
        </w:tc>
        <w:tc>
          <w:tcPr>
            <w:tcW w:type="dxa" w:w="25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eval() + AST evaluator designed</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Adversarial eval</w:t>
            </w:r>
          </w:p>
        </w:tc>
        <w:tc>
          <w:tcPr>
            <w:tcW w:type="dxa" w:w="25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None</w:t>
            </w:r>
          </w:p>
        </w:tc>
        <w:tc>
          <w:tcPr>
            <w:tcW w:type="dxa" w:w="25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None</w:t>
            </w:r>
          </w:p>
        </w:tc>
        <w:tc>
          <w:tcPr>
            <w:tcW w:type="dxa" w:w="25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2"/>
                <w:szCs w:val="22"/>
              </w:rPr>
              <w:t xml:space="preserve">Free-lunch attack tested</w:t>
            </w:r>
          </w:p>
        </w:tc>
      </w:tr>
    </w:tbl>
    <w:p>
      <w:r>
        <w:br w:type="page"/>
      </w:r>
    </w:p>
    <w:p>
      <w:pPr>
        <w:pStyle w:val="Heading1"/>
        <w:spacing w:before="400" w:after="200"/>
      </w:pPr>
      <w:r>
        <w:rPr>
          <w:rFonts w:ascii="Arial" w:cs="Arial" w:eastAsia="Arial" w:hAnsi="Arial"/>
        </w:rPr>
        <w:t xml:space="preserve">7. Limitations and Known Failure Modes</w:t>
      </w:r>
    </w:p>
    <w:p>
      <w:pPr>
        <w:spacing w:after="180" w:line="360"/>
      </w:pPr>
      <w:r>
        <w:rPr>
          <w:rFonts w:ascii="Arial" w:cs="Arial" w:eastAsia="Arial" w:hAnsi="Arial"/>
          <w:sz w:val="24"/>
          <w:szCs w:val="24"/>
        </w:rPr>
        <w:t xml:space="preserve">This section documents limitations honestly rather than minimizing them.</w:t>
      </w:r>
    </w:p>
    <w:p>
      <w:pPr>
        <w:spacing w:after="180" w:line="360"/>
      </w:pPr>
      <w:r>
        <w:rPr>
          <w:rFonts w:ascii="Arial" w:cs="Arial" w:eastAsia="Arial" w:hAnsi="Arial"/>
          <w:b/>
          <w:bCs/>
          <w:sz w:val="24"/>
          <w:szCs w:val="24"/>
        </w:rPr>
        <w:t xml:space="preserve">Input quality bounds output quality. </w:t>
      </w:r>
      <w:r>
        <w:rPr>
          <w:rFonts w:ascii="Arial" w:cs="Arial" w:eastAsia="Arial" w:hAnsi="Arial"/>
          <w:sz w:val="24"/>
          <w:szCs w:val="24"/>
        </w:rPr>
        <w:t xml:space="preserve">If the probability distributions assigned to variables do not reflect reality, the simulation produces confident but wrong projections. The calibration metadata and sensitivity analysis mitigate but do not eliminate this risk. The deterministic baseline comparison quantifies how much information simulation adds over point estimates, but the simulation itself is only as good as its distributional assumptions.</w:t>
      </w:r>
    </w:p>
    <w:p>
      <w:pPr>
        <w:spacing w:after="180" w:line="360"/>
      </w:pPr>
      <w:r>
        <w:rPr>
          <w:rFonts w:ascii="Arial" w:cs="Arial" w:eastAsia="Arial" w:hAnsi="Arial"/>
          <w:b/>
          <w:bCs/>
          <w:sz w:val="24"/>
          <w:szCs w:val="24"/>
        </w:rPr>
        <w:t xml:space="preserve">The optimizer can find model exploits. </w:t>
      </w:r>
      <w:r>
        <w:rPr>
          <w:rFonts w:ascii="Arial" w:cs="Arial" w:eastAsia="Arial" w:hAnsi="Arial"/>
          <w:sz w:val="24"/>
          <w:szCs w:val="24"/>
        </w:rPr>
        <w:t xml:space="preserve">The adversarial evaluation demonstrated that a “free lunch” strategy—simultaneously maximizing price and close rate—can score well despite being market-implausible. Safety constraints and multi-objective fitness provide partial defense, but explicit input plausibility constraints are needed as an additional layer. This is the system’s most important current weakness.</w:t>
      </w:r>
    </w:p>
    <w:p>
      <w:pPr>
        <w:spacing w:after="180" w:line="360"/>
      </w:pPr>
      <w:r>
        <w:rPr>
          <w:rFonts w:ascii="Arial" w:cs="Arial" w:eastAsia="Arial" w:hAnsi="Arial"/>
          <w:b/>
          <w:bCs/>
          <w:sz w:val="24"/>
          <w:szCs w:val="24"/>
        </w:rPr>
        <w:t xml:space="preserve">No formal Bayesian inference. </w:t>
      </w:r>
      <w:r>
        <w:rPr>
          <w:rFonts w:ascii="Arial" w:cs="Arial" w:eastAsia="Arial" w:hAnsi="Arial"/>
          <w:sz w:val="24"/>
          <w:szCs w:val="24"/>
        </w:rPr>
        <w:t xml:space="preserve">The system does not compute posterior distributions from data. It provides distributional forecasts under assumed priors, which is useful but weaker than posterior predictive analysis. Adding conjugate Bayesian updates for conversion rates and arrival counts is the highest-priority enhancement.</w:t>
      </w:r>
    </w:p>
    <w:p>
      <w:pPr>
        <w:spacing w:after="180" w:line="360"/>
      </w:pPr>
      <w:r>
        <w:rPr>
          <w:rFonts w:ascii="Arial" w:cs="Arial" w:eastAsia="Arial" w:hAnsi="Arial"/>
          <w:b/>
          <w:bCs/>
          <w:sz w:val="24"/>
          <w:szCs w:val="24"/>
        </w:rPr>
        <w:t xml:space="preserve">No proper scoring rule evaluation. </w:t>
      </w:r>
      <w:r>
        <w:rPr>
          <w:rFonts w:ascii="Arial" w:cs="Arial" w:eastAsia="Arial" w:hAnsi="Arial"/>
          <w:sz w:val="24"/>
          <w:szCs w:val="24"/>
        </w:rPr>
        <w:t xml:space="preserve">The system does not yet evaluate its own forecast quality against realized outcomes using log scores, CRPS, or calibration diagnostics. This infrastructure is designed but requires a real-world feedback ingestion pathway that does not yet exist.</w:t>
      </w:r>
    </w:p>
    <w:p>
      <w:pPr>
        <w:spacing w:after="180" w:line="360"/>
      </w:pPr>
      <w:r>
        <w:rPr>
          <w:rFonts w:ascii="Arial" w:cs="Arial" w:eastAsia="Arial" w:hAnsi="Arial"/>
          <w:b/>
          <w:bCs/>
          <w:sz w:val="24"/>
          <w:szCs w:val="24"/>
        </w:rPr>
        <w:t xml:space="preserve">Independence assumption. </w:t>
      </w:r>
      <w:r>
        <w:rPr>
          <w:rFonts w:ascii="Arial" w:cs="Arial" w:eastAsia="Arial" w:hAnsi="Arial"/>
          <w:sz w:val="24"/>
          <w:szCs w:val="24"/>
        </w:rPr>
        <w:t xml:space="preserve">Variables are sampled independently each timestep. In reality, close rate and project value are likely correlated (premium clients may close less often but at higher value). No dependency structure or copula modeling is implemented.</w:t>
      </w:r>
    </w:p>
    <w:p>
      <w:pPr>
        <w:spacing w:after="180" w:line="360"/>
      </w:pPr>
      <w:r>
        <w:rPr>
          <w:rFonts w:ascii="Arial" w:cs="Arial" w:eastAsia="Arial" w:hAnsi="Arial"/>
          <w:b/>
          <w:bCs/>
          <w:sz w:val="24"/>
          <w:szCs w:val="24"/>
        </w:rPr>
        <w:t xml:space="preserve">Expression evaluator security. </w:t>
      </w:r>
      <w:r>
        <w:rPr>
          <w:rFonts w:ascii="Arial" w:cs="Arial" w:eastAsia="Arial" w:hAnsi="Arial"/>
          <w:sz w:val="24"/>
          <w:szCs w:val="24"/>
        </w:rPr>
        <w:t xml:space="preserve">The current production evaluator uses Python’s eval() with restricted builtins. This is known to be leaky against determined attackers. An AST-based evaluator has been implemented in the diagnostics module and should replace eval() before any deployment where untrusted users can submit configurations.</w:t>
      </w:r>
    </w:p>
    <w:p>
      <w:pPr>
        <w:spacing w:after="180" w:line="360"/>
      </w:pPr>
      <w:r>
        <w:rPr>
          <w:rFonts w:ascii="Arial" w:cs="Arial" w:eastAsia="Arial" w:hAnsi="Arial"/>
          <w:b/>
          <w:bCs/>
          <w:sz w:val="24"/>
          <w:szCs w:val="24"/>
        </w:rPr>
        <w:t xml:space="preserve">No historical backtest. </w:t>
      </w:r>
      <w:r>
        <w:rPr>
          <w:rFonts w:ascii="Arial" w:cs="Arial" w:eastAsia="Arial" w:hAnsi="Arial"/>
          <w:sz w:val="24"/>
          <w:szCs w:val="24"/>
        </w:rPr>
        <w:t xml:space="preserve">No domain has been validated against historical outcomes. The business pipeline results are projections under assumed distributions, not fitted models. This is the difference between “plausible forecast” and “validated prediction.”</w:t>
      </w:r>
    </w:p>
    <w:p>
      <w:r>
        <w:br w:type="page"/>
      </w:r>
    </w:p>
    <w:p>
      <w:pPr>
        <w:pStyle w:val="Heading1"/>
        <w:spacing w:before="400" w:after="200"/>
      </w:pPr>
      <w:r>
        <w:rPr>
          <w:rFonts w:ascii="Arial" w:cs="Arial" w:eastAsia="Arial" w:hAnsi="Arial"/>
        </w:rPr>
        <w:t xml:space="preserve">8. Future Work</w:t>
      </w:r>
    </w:p>
    <w:p>
      <w:pPr>
        <w:pStyle w:val="Heading2"/>
        <w:spacing w:before="300" w:after="150"/>
      </w:pPr>
      <w:r>
        <w:rPr>
          <w:rFonts w:ascii="Arial" w:cs="Arial" w:eastAsia="Arial" w:hAnsi="Arial"/>
        </w:rPr>
        <w:t xml:space="preserve">8.1 Immediate priorities</w:t>
      </w:r>
    </w:p>
    <w:p>
      <w:pPr>
        <w:spacing w:after="180" w:line="360"/>
      </w:pPr>
      <w:r>
        <w:rPr>
          <w:rFonts w:ascii="Arial" w:cs="Arial" w:eastAsia="Arial" w:hAnsi="Arial"/>
          <w:b/>
          <w:bCs/>
          <w:sz w:val="24"/>
          <w:szCs w:val="24"/>
        </w:rPr>
        <w:t xml:space="preserve">Input plausibility constraints: </w:t>
      </w:r>
      <w:r>
        <w:rPr>
          <w:rFonts w:ascii="Arial" w:cs="Arial" w:eastAsia="Arial" w:hAnsi="Arial"/>
          <w:sz w:val="24"/>
          <w:szCs w:val="24"/>
        </w:rPr>
        <w:t xml:space="preserve">Hard bounds on parameter combinations (e.g., close rate × project value ≤ market ceiling) to prevent optimizer exploits.</w:t>
      </w:r>
    </w:p>
    <w:p>
      <w:pPr>
        <w:spacing w:after="180" w:line="360"/>
      </w:pPr>
      <w:r>
        <w:rPr>
          <w:rFonts w:ascii="Arial" w:cs="Arial" w:eastAsia="Arial" w:hAnsi="Arial"/>
          <w:b/>
          <w:bCs/>
          <w:sz w:val="24"/>
          <w:szCs w:val="24"/>
        </w:rPr>
        <w:t xml:space="preserve">Conjugate Bayesian updates: </w:t>
      </w:r>
      <w:r>
        <w:rPr>
          <w:rFonts w:ascii="Arial" w:cs="Arial" w:eastAsia="Arial" w:hAnsi="Arial"/>
          <w:sz w:val="24"/>
          <w:szCs w:val="24"/>
        </w:rPr>
        <w:t xml:space="preserve">Beta-Binomial for conversion rates, Gamma-Poisson for lead/arrival counts, updating distributions as real data is observed.</w:t>
      </w:r>
    </w:p>
    <w:p>
      <w:pPr>
        <w:spacing w:after="180" w:line="360"/>
      </w:pPr>
      <w:r>
        <w:rPr>
          <w:rFonts w:ascii="Arial" w:cs="Arial" w:eastAsia="Arial" w:hAnsi="Arial"/>
          <w:b/>
          <w:bCs/>
          <w:sz w:val="24"/>
          <w:szCs w:val="24"/>
        </w:rPr>
        <w:t xml:space="preserve">AST evaluator migration: </w:t>
      </w:r>
      <w:r>
        <w:rPr>
          <w:rFonts w:ascii="Arial" w:cs="Arial" w:eastAsia="Arial" w:hAnsi="Arial"/>
          <w:sz w:val="24"/>
          <w:szCs w:val="24"/>
        </w:rPr>
        <w:t xml:space="preserve">Replace eval() with the implemented AST-based evaluator in the production kernel.</w:t>
      </w:r>
    </w:p>
    <w:p>
      <w:pPr>
        <w:spacing w:after="180" w:line="360"/>
      </w:pPr>
      <w:r>
        <w:rPr>
          <w:rFonts w:ascii="Arial" w:cs="Arial" w:eastAsia="Arial" w:hAnsi="Arial"/>
          <w:b/>
          <w:bCs/>
          <w:sz w:val="24"/>
          <w:szCs w:val="24"/>
        </w:rPr>
        <w:t xml:space="preserve">Historical calibration: </w:t>
      </w:r>
      <w:r>
        <w:rPr>
          <w:rFonts w:ascii="Arial" w:cs="Arial" w:eastAsia="Arial" w:hAnsi="Arial"/>
          <w:sz w:val="24"/>
          <w:szCs w:val="24"/>
        </w:rPr>
        <w:t xml:space="preserve">Fit investment model returns against French Data Library benchmarks; validate job-search rates against BLS CPS data.</w:t>
      </w:r>
    </w:p>
    <w:p>
      <w:pPr>
        <w:pStyle w:val="Heading2"/>
        <w:spacing w:before="300" w:after="150"/>
      </w:pPr>
      <w:r>
        <w:rPr>
          <w:rFonts w:ascii="Arial" w:cs="Arial" w:eastAsia="Arial" w:hAnsi="Arial"/>
        </w:rPr>
        <w:t xml:space="preserve">8.2 Medium-term enhancements</w:t>
      </w:r>
    </w:p>
    <w:p>
      <w:pPr>
        <w:spacing w:after="180" w:line="360"/>
      </w:pPr>
      <w:r>
        <w:rPr>
          <w:rFonts w:ascii="Arial" w:cs="Arial" w:eastAsia="Arial" w:hAnsi="Arial"/>
          <w:b/>
          <w:bCs/>
          <w:sz w:val="24"/>
          <w:szCs w:val="24"/>
        </w:rPr>
        <w:t xml:space="preserve">Proper scoring rule evaluation: </w:t>
      </w:r>
      <w:r>
        <w:rPr>
          <w:rFonts w:ascii="Arial" w:cs="Arial" w:eastAsia="Arial" w:hAnsi="Arial"/>
          <w:sz w:val="24"/>
          <w:szCs w:val="24"/>
        </w:rPr>
        <w:t xml:space="preserve">Implement prequential scoring (log score, CRPS, Brier score) against a stream of forecast-then-observe pairs.</w:t>
      </w:r>
    </w:p>
    <w:p>
      <w:pPr>
        <w:spacing w:after="180" w:line="360"/>
      </w:pPr>
      <w:r>
        <w:rPr>
          <w:rFonts w:ascii="Arial" w:cs="Arial" w:eastAsia="Arial" w:hAnsi="Arial"/>
          <w:b/>
          <w:bCs/>
          <w:sz w:val="24"/>
          <w:szCs w:val="24"/>
        </w:rPr>
        <w:t xml:space="preserve">Sobol sensitivity analysis: </w:t>
      </w:r>
      <w:r>
        <w:rPr>
          <w:rFonts w:ascii="Arial" w:cs="Arial" w:eastAsia="Arial" w:hAnsi="Arial"/>
          <w:sz w:val="24"/>
          <w:szCs w:val="24"/>
        </w:rPr>
        <w:t xml:space="preserve">Full variance decomposition including interaction effects, for the business and investment domains.</w:t>
      </w:r>
    </w:p>
    <w:p>
      <w:pPr>
        <w:spacing w:after="180" w:line="360"/>
      </w:pPr>
      <w:r>
        <w:rPr>
          <w:rFonts w:ascii="Arial" w:cs="Arial" w:eastAsia="Arial" w:hAnsi="Arial"/>
          <w:b/>
          <w:bCs/>
          <w:sz w:val="24"/>
          <w:szCs w:val="24"/>
        </w:rPr>
        <w:t xml:space="preserve">Correlated sampling: </w:t>
      </w:r>
      <w:r>
        <w:rPr>
          <w:rFonts w:ascii="Arial" w:cs="Arial" w:eastAsia="Arial" w:hAnsi="Arial"/>
          <w:sz w:val="24"/>
          <w:szCs w:val="24"/>
        </w:rPr>
        <w:t xml:space="preserve">Basic dependency structure between related variables (e.g., close rate and project value).</w:t>
      </w:r>
    </w:p>
    <w:p>
      <w:pPr>
        <w:pStyle w:val="Heading2"/>
        <w:spacing w:before="300" w:after="150"/>
      </w:pPr>
      <w:r>
        <w:rPr>
          <w:rFonts w:ascii="Arial" w:cs="Arial" w:eastAsia="Arial" w:hAnsi="Arial"/>
        </w:rPr>
        <w:t xml:space="preserve">8.3 Long-term research directions</w:t>
      </w:r>
    </w:p>
    <w:p>
      <w:pPr>
        <w:spacing w:after="180" w:line="360"/>
      </w:pPr>
      <w:r>
        <w:rPr>
          <w:rFonts w:ascii="Arial" w:cs="Arial" w:eastAsia="Arial" w:hAnsi="Arial"/>
          <w:b/>
          <w:bCs/>
          <w:sz w:val="24"/>
          <w:szCs w:val="24"/>
        </w:rPr>
        <w:t xml:space="preserve">Agent-based model engine: </w:t>
      </w:r>
      <w:r>
        <w:rPr>
          <w:rFonts w:ascii="Arial" w:cs="Arial" w:eastAsia="Arial" w:hAnsi="Arial"/>
          <w:sz w:val="24"/>
          <w:szCs w:val="24"/>
        </w:rPr>
        <w:t xml:space="preserve">A second engine for simulating systems of interacting entities with memory, goals, and adaptive behavior. Required for market simulation, network dynamics, and competitive response modeling. This is the largest remaining architectural gap.</w:t>
      </w:r>
    </w:p>
    <w:p>
      <w:pPr>
        <w:spacing w:after="180" w:line="360"/>
      </w:pPr>
      <w:r>
        <w:rPr>
          <w:rFonts w:ascii="Arial" w:cs="Arial" w:eastAsia="Arial" w:hAnsi="Arial"/>
          <w:b/>
          <w:bCs/>
          <w:sz w:val="24"/>
          <w:szCs w:val="24"/>
        </w:rPr>
        <w:t xml:space="preserve">Distributionally robust optimization: </w:t>
      </w:r>
      <w:r>
        <w:rPr>
          <w:rFonts w:ascii="Arial" w:cs="Arial" w:eastAsia="Arial" w:hAnsi="Arial"/>
          <w:sz w:val="24"/>
          <w:szCs w:val="24"/>
        </w:rPr>
        <w:t xml:space="preserve">Optimize against worst-case distributions within an uncertainty set around the fitted model, providing formal guarantees under misspecification.</w:t>
      </w:r>
    </w:p>
    <w:p>
      <w:pPr>
        <w:spacing w:after="180" w:line="360"/>
      </w:pPr>
      <w:r>
        <w:rPr>
          <w:rFonts w:ascii="Arial" w:cs="Arial" w:eastAsia="Arial" w:hAnsi="Arial"/>
          <w:b/>
          <w:bCs/>
          <w:sz w:val="24"/>
          <w:szCs w:val="24"/>
        </w:rPr>
        <w:t xml:space="preserve">LLM-driven configuration generation: </w:t>
      </w:r>
      <w:r>
        <w:rPr>
          <w:rFonts w:ascii="Arial" w:cs="Arial" w:eastAsia="Arial" w:hAnsi="Arial"/>
          <w:sz w:val="24"/>
          <w:szCs w:val="24"/>
        </w:rPr>
        <w:t xml:space="preserve">Use large language models to generate domain configurations from natural-language problem descriptions, expanding accessibility beyond users who can write JSON.</w:t>
      </w:r>
    </w:p>
    <w:p>
      <w:r>
        <w:br w:type="page"/>
      </w:r>
    </w:p>
    <w:p>
      <w:pPr>
        <w:pStyle w:val="Heading1"/>
        <w:spacing w:before="400" w:after="200"/>
      </w:pPr>
      <w:r>
        <w:rPr>
          <w:rFonts w:ascii="Arial" w:cs="Arial" w:eastAsia="Arial" w:hAnsi="Arial"/>
        </w:rPr>
        <w:t xml:space="preserve">9. Conclusion</w:t>
      </w:r>
    </w:p>
    <w:p>
      <w:pPr>
        <w:spacing w:after="180" w:line="360"/>
      </w:pPr>
      <w:r>
        <w:rPr>
          <w:rFonts w:ascii="Arial" w:cs="Arial" w:eastAsia="Arial" w:hAnsi="Arial"/>
          <w:sz w:val="24"/>
          <w:szCs w:val="24"/>
        </w:rPr>
        <w:t xml:space="preserve">This report demonstrates a domain-agnostic simulation kernel that produces distributional forecasts and safety-constrained strategy recommendations for personal and small-business decision-making on commodity hardware. The architectural contribution—separating domain semantics from simulation mechanics through a declarative JSON schema with typed variable categories—enables a single lightweight codebase to handle business, career, and financial modeling without code changes.</w:t>
      </w:r>
    </w:p>
    <w:p>
      <w:pPr>
        <w:spacing w:after="180" w:line="360"/>
      </w:pPr>
      <w:r>
        <w:rPr>
          <w:rFonts w:ascii="Arial" w:cs="Arial" w:eastAsia="Arial" w:hAnsi="Arial"/>
          <w:sz w:val="24"/>
          <w:szCs w:val="24"/>
        </w:rPr>
        <w:t xml:space="preserve">The evidence presented supports four findings. First, Monte Carlo estimators converge at modest sample sizes (N=250 by the CI95 criterion), making the approach practical on constrained hardware. Second, sensitivity analysis independently confirms which inputs matter most, providing a principled validation of optimizer-discovered strategies. Third, safety constraints (chance bounds and CVaR) successfully steer the optimizer toward strategies with acceptable downside risk, with population safety improving from 37.5% to 100% within two generations. Fourth, adversarial testing reveals that while the safety layer catches many exploits, input plausibility constraints are needed as an additional defense against strategies that are model-optimal but market-implausible.</w:t>
      </w:r>
    </w:p>
    <w:p>
      <w:pPr>
        <w:spacing w:after="180" w:line="360"/>
      </w:pPr>
      <w:r>
        <w:rPr>
          <w:rFonts w:ascii="Arial" w:cs="Arial" w:eastAsia="Arial" w:hAnsi="Arial"/>
          <w:sz w:val="24"/>
          <w:szCs w:val="24"/>
        </w:rPr>
        <w:t xml:space="preserve">The system’s primary limitations are the absence of formal Bayesian posterior inference, the lack of historical calibration data, and the independence assumption between variables. These are documented honestly and prioritized for future work.</w:t>
      </w:r>
    </w:p>
    <w:p>
      <w:pPr>
        <w:spacing w:after="180" w:line="360"/>
      </w:pPr>
      <w:r>
        <w:rPr>
          <w:rFonts w:ascii="Arial" w:cs="Arial" w:eastAsia="Arial" w:hAnsi="Arial"/>
          <w:sz w:val="24"/>
          <w:szCs w:val="24"/>
        </w:rPr>
        <w:t xml:space="preserve">The core operational principle remains: simulate possible futures to discover risks and strategies that direct reasoning and point-estimate forecasting miss. The system makes this principle accessible on hardware the operator already owns, with formal safety guarantees attached to every recommendation.</w:t>
      </w:r>
    </w:p>
    <w:p>
      <w:r>
        <w:br w:type="page"/>
      </w:r>
    </w:p>
    <w:p>
      <w:pPr>
        <w:pStyle w:val="Heading1"/>
        <w:spacing w:before="400" w:after="200"/>
      </w:pPr>
      <w:r>
        <w:rPr>
          <w:rFonts w:ascii="Arial" w:cs="Arial" w:eastAsia="Arial" w:hAnsi="Arial"/>
        </w:rPr>
        <w:t xml:space="preserve">References</w:t>
      </w:r>
    </w:p>
    <w:p>
      <w:pPr>
        <w:spacing w:after="180" w:line="360"/>
      </w:pPr>
      <w:r>
        <w:rPr>
          <w:rFonts w:ascii="Arial" w:cs="Arial" w:eastAsia="Arial" w:hAnsi="Arial"/>
          <w:sz w:val="22"/>
          <w:szCs w:val="22"/>
        </w:rPr>
        <w:t xml:space="preserve">Auer, P., Cesa-Bianchi, N., &amp; Fischer, P. (2002). Finite-time analysis of the multiarmed bandit problem. Machine Learning, 47(2-3), 235-256.</w:t>
      </w:r>
    </w:p>
    <w:p>
      <w:pPr>
        <w:spacing w:after="180" w:line="360"/>
      </w:pPr>
      <w:r>
        <w:rPr>
          <w:rFonts w:ascii="Arial" w:cs="Arial" w:eastAsia="Arial" w:hAnsi="Arial"/>
          <w:sz w:val="22"/>
          <w:szCs w:val="22"/>
        </w:rPr>
        <w:t xml:space="preserve">French, K. R. (n.d.). Data Library. Dartmouth Tuck School of Business. https://mba.tuck.dartmouth.edu/pages/faculty/ken.french/data_library.html</w:t>
      </w:r>
    </w:p>
    <w:p>
      <w:pPr>
        <w:spacing w:after="180" w:line="360"/>
      </w:pPr>
      <w:r>
        <w:rPr>
          <w:rFonts w:ascii="Arial" w:cs="Arial" w:eastAsia="Arial" w:hAnsi="Arial"/>
          <w:sz w:val="22"/>
          <w:szCs w:val="22"/>
        </w:rPr>
        <w:t xml:space="preserve">Katsoulakis, E., Wang, Q., Wu, H., et al. (2024). Digital twins for health: a scoping review. npj Digital Medicine, 7, 77.</w:t>
      </w:r>
    </w:p>
    <w:p>
      <w:pPr>
        <w:spacing w:after="180" w:line="360"/>
      </w:pPr>
      <w:r>
        <w:rPr>
          <w:rFonts w:ascii="Arial" w:cs="Arial" w:eastAsia="Arial" w:hAnsi="Arial"/>
          <w:sz w:val="22"/>
          <w:szCs w:val="22"/>
        </w:rPr>
        <w:t xml:space="preserve">Park, J.S., et al. (2024). Generative Agent Simulations of 1,000 People. arXiv:2411.10109.</w:t>
      </w:r>
    </w:p>
    <w:p>
      <w:pPr>
        <w:spacing w:after="180" w:line="360"/>
      </w:pPr>
      <w:r>
        <w:rPr>
          <w:rFonts w:ascii="Arial" w:cs="Arial" w:eastAsia="Arial" w:hAnsi="Arial"/>
          <w:sz w:val="22"/>
          <w:szCs w:val="22"/>
        </w:rPr>
        <w:t xml:space="preserve">Piao, Y., et al. (2025). AgentSociety: Large-Scale Simulation of LLM-Driven Generative Agents. arXiv:2502.08691.</w:t>
      </w:r>
    </w:p>
    <w:p>
      <w:pPr>
        <w:spacing w:after="180" w:line="360"/>
      </w:pPr>
      <w:r>
        <w:rPr>
          <w:rFonts w:ascii="Arial" w:cs="Arial" w:eastAsia="Arial" w:hAnsi="Arial"/>
          <w:sz w:val="22"/>
          <w:szCs w:val="22"/>
        </w:rPr>
        <w:t xml:space="preserve">Ringeval, M., et al. (2025). Advancing Health Care With Digital Twins: Meta-Review. J Med Internet Res, 27, e69544.</w:t>
      </w:r>
    </w:p>
    <w:p>
      <w:pPr>
        <w:spacing w:after="180" w:line="360"/>
      </w:pPr>
      <w:r>
        <w:rPr>
          <w:rFonts w:ascii="Arial" w:cs="Arial" w:eastAsia="Arial" w:hAnsi="Arial"/>
          <w:sz w:val="22"/>
          <w:szCs w:val="22"/>
        </w:rPr>
        <w:t xml:space="preserve">Rockafellar, R.T. &amp; Uryasev, S. (2000). Optimization of Conditional Value-at-Risk. Journal of Risk, 2(3), 21-42.</w:t>
      </w:r>
    </w:p>
    <w:p>
      <w:pPr>
        <w:spacing w:after="180" w:line="360"/>
      </w:pPr>
      <w:r>
        <w:rPr>
          <w:rFonts w:ascii="Arial" w:cs="Arial" w:eastAsia="Arial" w:hAnsi="Arial"/>
          <w:sz w:val="22"/>
          <w:szCs w:val="22"/>
        </w:rPr>
        <w:t xml:space="preserve">U.S. Bureau of Labor Statistics. Current Population Survey. https://www.bls.gov/cps/</w:t>
      </w:r>
    </w:p>
    <w:p>
      <w:pPr>
        <w:spacing w:after="180" w:line="360"/>
      </w:pPr>
      <w:r>
        <w:rPr>
          <w:rFonts w:ascii="Arial" w:cs="Arial" w:eastAsia="Arial" w:hAnsi="Arial"/>
          <w:sz w:val="22"/>
          <w:szCs w:val="22"/>
        </w:rPr>
        <w:t xml:space="preserve">U.S. Small Business Administration, Office of Advocacy. Frequently Asked Questions About Small Business. https://advocacy.sba.gov/</w:t>
      </w:r>
    </w:p>
    <w:p>
      <w:pPr>
        <w:spacing w:after="180" w:line="360"/>
      </w:pPr>
      <w:r>
        <w:rPr>
          <w:rFonts w:ascii="Arial" w:cs="Arial" w:eastAsia="Arial" w:hAnsi="Arial"/>
          <w:sz w:val="22"/>
          <w:szCs w:val="22"/>
        </w:rPr>
        <w:t xml:space="preserve">Ye, Z., Xiao, K., Ge, Y., &amp; Deng, Y. (2022). Intelligent career planning via stochastic subsampling reinforcement learning. Scientific Reports, 12, 8470.</w:t>
      </w:r>
    </w:p>
    <w:p>
      <w:r>
        <w:br w:type="page"/>
      </w:r>
    </w:p>
    <w:p>
      <w:pPr>
        <w:pStyle w:val="Heading1"/>
        <w:spacing w:before="400" w:after="200"/>
      </w:pPr>
      <w:r>
        <w:rPr>
          <w:rFonts w:ascii="Arial" w:cs="Arial" w:eastAsia="Arial" w:hAnsi="Arial"/>
        </w:rPr>
        <w:t xml:space="preserve">Appendix A: Experiment Manifests</w:t>
      </w:r>
    </w:p>
    <w:p>
      <w:pPr>
        <w:spacing w:after="180" w:line="360"/>
      </w:pPr>
      <w:r>
        <w:rPr>
          <w:rFonts w:ascii="Arial" w:cs="Arial" w:eastAsia="Arial" w:hAnsi="Arial"/>
          <w:sz w:val="22"/>
          <w:szCs w:val="22"/>
        </w:rPr>
        <w:t xml:space="preserve">All experimental results in this report were produced with the following configuration:</w:t>
      </w:r>
    </w:p>
    <w:p>
      <w:pPr>
        <w:spacing w:after="180" w:line="360"/>
      </w:pPr>
      <w:r>
        <w:rPr>
          <w:rFonts w:ascii="Courier New" w:cs="Courier New" w:eastAsia="Courier New" w:hAnsi="Courier New"/>
          <w:sz w:val="22"/>
          <w:szCs w:val="22"/>
        </w:rPr>
        <w:t xml:space="preserve">Kernel version: 3.0.0</w:t>
      </w:r>
    </w:p>
    <w:p>
      <w:pPr>
        <w:spacing w:after="180" w:line="360"/>
      </w:pPr>
      <w:r>
        <w:rPr>
          <w:rFonts w:ascii="Courier New" w:cs="Courier New" w:eastAsia="Courier New" w:hAnsi="Courier New"/>
          <w:sz w:val="22"/>
          <w:szCs w:val="22"/>
        </w:rPr>
        <w:t xml:space="preserve">Primary config hash: 95d9cfd24e5c9e07</w:t>
      </w:r>
    </w:p>
    <w:p>
      <w:pPr>
        <w:spacing w:after="180" w:line="360"/>
      </w:pPr>
      <w:r>
        <w:rPr>
          <w:rFonts w:ascii="Courier New" w:cs="Courier New" w:eastAsia="Courier New" w:hAnsi="Courier New"/>
          <w:sz w:val="22"/>
          <w:szCs w:val="22"/>
        </w:rPr>
        <w:t xml:space="preserve">Default seed: 42</w:t>
      </w:r>
    </w:p>
    <w:p>
      <w:pPr>
        <w:spacing w:after="180" w:line="360"/>
      </w:pPr>
      <w:r>
        <w:rPr>
          <w:rFonts w:ascii="Courier New" w:cs="Courier New" w:eastAsia="Courier New" w:hAnsi="Courier New"/>
          <w:sz w:val="22"/>
          <w:szCs w:val="22"/>
        </w:rPr>
        <w:t xml:space="preserve">Convergence analysis: N=100 to N=15,000 (10 checkpoints)</w:t>
      </w:r>
    </w:p>
    <w:p>
      <w:pPr>
        <w:spacing w:after="180" w:line="360"/>
      </w:pPr>
      <w:r>
        <w:rPr>
          <w:rFonts w:ascii="Courier New" w:cs="Courier New" w:eastAsia="Courier New" w:hAnsi="Courier New"/>
          <w:sz w:val="22"/>
          <w:szCs w:val="22"/>
        </w:rPr>
        <w:t xml:space="preserve">Sensitivity analysis: N=500 base, 2 trials/param, +/-10%</w:t>
      </w:r>
    </w:p>
    <w:p>
      <w:pPr>
        <w:spacing w:after="180" w:line="360"/>
      </w:pPr>
      <w:r>
        <w:rPr>
          <w:rFonts w:ascii="Courier New" w:cs="Courier New" w:eastAsia="Courier New" w:hAnsi="Courier New"/>
          <w:sz w:val="22"/>
          <w:szCs w:val="22"/>
        </w:rPr>
        <w:t xml:space="preserve">Evolution: 6 gens, pop 8, 1000 MC/eval, seed 42</w:t>
      </w:r>
    </w:p>
    <w:p>
      <w:pPr>
        <w:spacing w:after="180" w:line="360"/>
      </w:pPr>
      <w:r>
        <w:rPr>
          <w:rFonts w:ascii="Courier New" w:cs="Courier New" w:eastAsia="Courier New" w:hAnsi="Courier New"/>
          <w:sz w:val="22"/>
          <w:szCs w:val="22"/>
        </w:rPr>
        <w:t xml:space="preserve">Adversarial test: 2000 MC runs, seed 42</w:t>
      </w:r>
    </w:p>
    <w:p>
      <w:pPr>
        <w:spacing w:after="200"/>
      </w:pPr>
    </w:p>
    <w:p>
      <w:pPr>
        <w:spacing w:after="180" w:line="360"/>
      </w:pPr>
      <w:r>
        <w:rPr>
          <w:rFonts w:ascii="Arial" w:cs="Arial" w:eastAsia="Arial" w:hAnsi="Arial"/>
          <w:sz w:val="22"/>
          <w:szCs w:val="22"/>
        </w:rPr>
        <w:t xml:space="preserve">All results are deterministically reproducible given the kernel source, domain configuration, and seeds listed above.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Venture Horizon LLC — System Report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A2A2A"/>
      <w:sz w:val="30"/>
      <w:szCs w:val="30"/>
    </w:rPr>
  </w:style>
  <w:style w:type="paragraph" w:styleId="Heading3">
    <w:name w:val="Heading 3"/>
    <w:basedOn w:val="Normal"/>
    <w:next w:val="Normal"/>
    <w:qFormat/>
    <w:pPr>
      <w:spacing w:before="200" w:after="100"/>
      <w:outlineLvl w:val="2"/>
    </w:pPr>
    <w:rPr>
      <w:rFonts w:ascii="Arial" w:cs="Arial" w:eastAsia="Arial" w:hAnsi="Arial"/>
      <w:b/>
      <w:bCs/>
      <w:color w:val="3A3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2026-03-20T22:33:22.653Z</dcterms:created>
  <dcterms:modified xsi:type="dcterms:W3CDTF">2026-03-20T22:33:22.654Z</dcterms:modified>
</cp:coreProperties>
</file>

<file path=docProps/custom.xml><?xml version="1.0" encoding="utf-8"?>
<Properties xmlns="http://schemas.openxmlformats.org/officeDocument/2006/custom-properties" xmlns:vt="http://schemas.openxmlformats.org/officeDocument/2006/docPropsVTypes"/>
</file>