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40" w:rsidRPr="00447640" w:rsidRDefault="00447640" w:rsidP="00447640">
      <w:pPr>
        <w:spacing w:line="360" w:lineRule="auto"/>
        <w:rPr>
          <w:rFonts w:ascii="Arial" w:eastAsia="Calibri" w:hAnsi="Arial" w:cs="Arial"/>
          <w:b/>
          <w:sz w:val="20"/>
          <w:szCs w:val="20"/>
          <w:lang w:val="en-US"/>
        </w:rPr>
      </w:pPr>
      <w:r w:rsidRPr="00447640">
        <w:rPr>
          <w:rFonts w:ascii="Arial" w:eastAsia="Calibri" w:hAnsi="Arial" w:cs="Arial"/>
          <w:b/>
          <w:sz w:val="20"/>
          <w:szCs w:val="20"/>
          <w:lang w:val="en-US"/>
        </w:rPr>
        <w:t>Supplementary Information for</w:t>
      </w: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0"/>
          <w:lang w:val="en-US"/>
        </w:rPr>
      </w:pPr>
      <w:r w:rsidRPr="00447640">
        <w:rPr>
          <w:rFonts w:ascii="Arial" w:hAnsi="Arial" w:cs="Arial"/>
          <w:b/>
          <w:bCs/>
          <w:sz w:val="28"/>
          <w:szCs w:val="20"/>
          <w:lang w:val="en-US"/>
        </w:rPr>
        <w:t xml:space="preserve">Qualitative translation of relations from </w:t>
      </w:r>
      <w:proofErr w:type="spellStart"/>
      <w:r w:rsidRPr="00447640">
        <w:rPr>
          <w:rFonts w:ascii="Arial" w:hAnsi="Arial" w:cs="Arial"/>
          <w:b/>
          <w:bCs/>
          <w:sz w:val="28"/>
          <w:szCs w:val="20"/>
          <w:lang w:val="en-US"/>
        </w:rPr>
        <w:t>BioPAX</w:t>
      </w:r>
      <w:proofErr w:type="spellEnd"/>
      <w:r w:rsidRPr="00447640">
        <w:rPr>
          <w:rFonts w:ascii="Arial" w:hAnsi="Arial" w:cs="Arial"/>
          <w:b/>
          <w:bCs/>
          <w:sz w:val="28"/>
          <w:szCs w:val="20"/>
          <w:lang w:val="en-US"/>
        </w:rPr>
        <w:t xml:space="preserve"> to SBML</w:t>
      </w:r>
      <w:r>
        <w:rPr>
          <w:rFonts w:ascii="Arial" w:hAnsi="Arial" w:cs="Arial"/>
          <w:b/>
          <w:bCs/>
          <w:sz w:val="28"/>
          <w:szCs w:val="20"/>
          <w:lang w:val="en-US"/>
        </w:rPr>
        <w:t xml:space="preserve"> </w:t>
      </w:r>
      <w:proofErr w:type="spellStart"/>
      <w:r w:rsidRPr="00447640">
        <w:rPr>
          <w:rFonts w:ascii="Arial" w:hAnsi="Arial" w:cs="Arial"/>
          <w:b/>
          <w:bCs/>
          <w:sz w:val="28"/>
          <w:szCs w:val="20"/>
          <w:lang w:val="en-US"/>
        </w:rPr>
        <w:t>qual</w:t>
      </w:r>
      <w:proofErr w:type="spellEnd"/>
    </w:p>
    <w:p w:rsidR="00042671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Finja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B</w:t>
      </w:r>
      <w:r>
        <w:rPr>
          <w:rFonts w:ascii="Arial" w:hAnsi="Arial" w:cs="Arial"/>
          <w:sz w:val="20"/>
          <w:szCs w:val="20"/>
          <w:lang w:val="en-US"/>
        </w:rPr>
        <w:t>ü</w:t>
      </w:r>
      <w:r w:rsidRPr="00447640">
        <w:rPr>
          <w:rFonts w:ascii="Arial" w:hAnsi="Arial" w:cs="Arial"/>
          <w:sz w:val="20"/>
          <w:szCs w:val="20"/>
          <w:lang w:val="en-US"/>
        </w:rPr>
        <w:t>chel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 Clemens Wrzodek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Florian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Mittag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 Andreas Dr</w:t>
      </w:r>
      <w:r>
        <w:rPr>
          <w:rFonts w:ascii="Arial" w:hAnsi="Arial" w:cs="Arial"/>
          <w:sz w:val="20"/>
          <w:szCs w:val="20"/>
          <w:lang w:val="en-US"/>
        </w:rPr>
        <w:t>ä</w:t>
      </w:r>
      <w:r w:rsidRPr="00447640">
        <w:rPr>
          <w:rFonts w:ascii="Arial" w:hAnsi="Arial" w:cs="Arial"/>
          <w:sz w:val="20"/>
          <w:szCs w:val="20"/>
          <w:lang w:val="en-US"/>
        </w:rPr>
        <w:t>ger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Johannes Eichner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, </w:t>
      </w: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47640">
        <w:rPr>
          <w:rFonts w:ascii="Arial" w:hAnsi="Arial" w:cs="Arial"/>
          <w:sz w:val="20"/>
          <w:szCs w:val="20"/>
          <w:lang w:val="en-US"/>
        </w:rPr>
        <w:t>Nicolas Rodriguez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447640">
        <w:rPr>
          <w:rFonts w:ascii="Arial" w:hAnsi="Arial" w:cs="Arial"/>
          <w:sz w:val="20"/>
          <w:szCs w:val="20"/>
          <w:lang w:val="en-US"/>
        </w:rPr>
        <w:t>, Nicolas Le Nov</w:t>
      </w:r>
      <w:r>
        <w:rPr>
          <w:rFonts w:ascii="Arial" w:hAnsi="Arial" w:cs="Arial"/>
          <w:sz w:val="20"/>
          <w:szCs w:val="20"/>
          <w:lang w:val="en-US"/>
        </w:rPr>
        <w:t>è</w:t>
      </w:r>
      <w:r w:rsidRPr="00447640">
        <w:rPr>
          <w:rFonts w:ascii="Arial" w:hAnsi="Arial" w:cs="Arial"/>
          <w:sz w:val="20"/>
          <w:szCs w:val="20"/>
          <w:lang w:val="en-US"/>
        </w:rPr>
        <w:t>re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447640">
        <w:rPr>
          <w:rFonts w:ascii="Arial" w:hAnsi="Arial" w:cs="Arial"/>
          <w:sz w:val="20"/>
          <w:szCs w:val="20"/>
          <w:lang w:val="en-US"/>
        </w:rPr>
        <w:t>,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Andreas Zell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</w:p>
    <w:p w:rsid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  <w:lang w:val="en-US"/>
        </w:rPr>
      </w:pPr>
      <w:r w:rsidRPr="00447640">
        <w:rPr>
          <w:rFonts w:ascii="Arial" w:hAnsi="Arial" w:cs="Arial"/>
          <w:sz w:val="16"/>
          <w:szCs w:val="20"/>
          <w:lang w:val="en-US"/>
        </w:rPr>
        <w:t xml:space="preserve">1 Center for Bioinformatics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Tuebingen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 xml:space="preserve"> (ZBIT), University of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Tuebingen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 xml:space="preserve">,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Tübingen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>, Germany</w:t>
      </w:r>
    </w:p>
    <w:p w:rsidR="009D76A9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20"/>
          <w:lang w:val="en-US"/>
        </w:rPr>
      </w:pPr>
      <w:r w:rsidRPr="00447640">
        <w:rPr>
          <w:rFonts w:ascii="Arial" w:hAnsi="Arial" w:cs="Arial"/>
          <w:sz w:val="16"/>
          <w:szCs w:val="20"/>
          <w:lang w:val="en-US"/>
        </w:rPr>
        <w:t xml:space="preserve">2 Computational </w:t>
      </w:r>
      <w:r w:rsidRPr="00447640">
        <w:rPr>
          <w:rFonts w:ascii="NimbusSanL-Regu" w:hAnsi="NimbusSanL-Regu" w:cs="NimbusSanL-Regu"/>
          <w:sz w:val="16"/>
          <w:szCs w:val="20"/>
          <w:lang w:val="en-US"/>
        </w:rPr>
        <w:t xml:space="preserve">Systems Neurobiology Group, European Bioinformatics Institute, </w:t>
      </w:r>
      <w:proofErr w:type="spellStart"/>
      <w:r w:rsidRPr="00447640">
        <w:rPr>
          <w:rFonts w:ascii="NimbusSanL-Regu" w:hAnsi="NimbusSanL-Regu" w:cs="NimbusSanL-Regu"/>
          <w:sz w:val="16"/>
          <w:szCs w:val="20"/>
          <w:lang w:val="en-US"/>
        </w:rPr>
        <w:t>Hinxton</w:t>
      </w:r>
      <w:proofErr w:type="gramStart"/>
      <w:r w:rsidRPr="00447640">
        <w:rPr>
          <w:rFonts w:ascii="NimbusSanL-Regu" w:hAnsi="NimbusSanL-Regu" w:cs="NimbusSanL-Regu"/>
          <w:sz w:val="16"/>
          <w:szCs w:val="20"/>
          <w:lang w:val="en-US"/>
        </w:rPr>
        <w:t>,United</w:t>
      </w:r>
      <w:proofErr w:type="spellEnd"/>
      <w:proofErr w:type="gramEnd"/>
      <w:r w:rsidRPr="00447640">
        <w:rPr>
          <w:rFonts w:ascii="NimbusSanL-Regu" w:hAnsi="NimbusSanL-Regu" w:cs="NimbusSanL-Regu"/>
          <w:sz w:val="16"/>
          <w:szCs w:val="20"/>
          <w:lang w:val="en-US"/>
        </w:rPr>
        <w:t xml:space="preserve"> Kingdom</w:t>
      </w:r>
    </w:p>
    <w:p w:rsid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:rsidR="00A32628" w:rsidRP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Detailed description of the conversion of the </w:t>
      </w:r>
      <w:proofErr w:type="spellStart"/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>BioPAX</w:t>
      </w:r>
      <w:proofErr w:type="spellEnd"/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Control element</w:t>
      </w:r>
    </w:p>
    <w:p w:rsidR="00447640" w:rsidRP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11452F" w:rsidRDefault="0011452F" w:rsidP="00AE2C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Pr="00AE2CB0">
        <w:rPr>
          <w:rFonts w:ascii="Courier New" w:hAnsi="Courier New" w:cs="Courier New"/>
          <w:sz w:val="20"/>
          <w:szCs w:val="20"/>
          <w:lang w:val="en-US"/>
        </w:rPr>
        <w:t>Control</w:t>
      </w:r>
      <w:r>
        <w:rPr>
          <w:rFonts w:ascii="Arial" w:hAnsi="Arial" w:cs="Arial"/>
          <w:sz w:val="20"/>
          <w:szCs w:val="20"/>
          <w:lang w:val="en-US"/>
        </w:rPr>
        <w:t xml:space="preserve"> element consists of zero or more </w:t>
      </w:r>
      <w:r w:rsidRPr="00AE2CB0">
        <w:rPr>
          <w:rFonts w:ascii="Courier New" w:hAnsi="Courier New" w:cs="Courier New"/>
          <w:sz w:val="20"/>
          <w:szCs w:val="20"/>
          <w:lang w:val="en-US"/>
        </w:rPr>
        <w:t>Controller</w:t>
      </w:r>
      <w:r>
        <w:rPr>
          <w:rFonts w:ascii="Arial" w:hAnsi="Arial" w:cs="Arial"/>
          <w:sz w:val="20"/>
          <w:szCs w:val="20"/>
          <w:lang w:val="en-US"/>
        </w:rPr>
        <w:t xml:space="preserve"> elements and of zero or one </w:t>
      </w:r>
      <w:r w:rsidRPr="00AE2CB0">
        <w:rPr>
          <w:rFonts w:ascii="Courier New" w:hAnsi="Courier New" w:cs="Courier New"/>
          <w:sz w:val="20"/>
          <w:szCs w:val="20"/>
          <w:lang w:val="en-US"/>
        </w:rPr>
        <w:t>Controlled</w:t>
      </w:r>
      <w:r>
        <w:rPr>
          <w:rFonts w:ascii="Arial" w:hAnsi="Arial" w:cs="Arial"/>
          <w:sz w:val="20"/>
          <w:szCs w:val="20"/>
          <w:lang w:val="en-US"/>
        </w:rPr>
        <w:t xml:space="preserve"> elements. D</w:t>
      </w:r>
      <w:r w:rsidR="00AE2CB0">
        <w:rPr>
          <w:rFonts w:ascii="Arial" w:hAnsi="Arial" w:cs="Arial"/>
          <w:sz w:val="20"/>
          <w:szCs w:val="20"/>
          <w:lang w:val="en-US"/>
        </w:rPr>
        <w:t xml:space="preserve">epending on these enclosed elements a </w:t>
      </w:r>
      <w:r w:rsidRPr="0011452F">
        <w:rPr>
          <w:rFonts w:ascii="Courier New" w:hAnsi="Courier New" w:cs="Courier New"/>
          <w:sz w:val="20"/>
          <w:szCs w:val="20"/>
          <w:lang w:val="en-US"/>
        </w:rPr>
        <w:t>Control</w:t>
      </w:r>
      <w:r>
        <w:rPr>
          <w:rFonts w:ascii="Arial" w:hAnsi="Arial" w:cs="Arial"/>
          <w:sz w:val="20"/>
          <w:szCs w:val="20"/>
          <w:lang w:val="en-US"/>
        </w:rPr>
        <w:t xml:space="preserve"> element can be translated into a SBML </w:t>
      </w:r>
      <w:r w:rsidRPr="0011452F">
        <w:rPr>
          <w:rFonts w:ascii="Courier New" w:hAnsi="Courier New" w:cs="Courier New"/>
          <w:sz w:val="20"/>
          <w:szCs w:val="20"/>
          <w:lang w:val="en-US"/>
        </w:rPr>
        <w:t>transition</w:t>
      </w:r>
      <w:r>
        <w:rPr>
          <w:rFonts w:ascii="Arial" w:hAnsi="Arial" w:cs="Arial"/>
          <w:sz w:val="20"/>
          <w:szCs w:val="20"/>
          <w:lang w:val="en-US"/>
        </w:rPr>
        <w:t xml:space="preserve"> or </w:t>
      </w:r>
      <w:r w:rsidRPr="0011452F">
        <w:rPr>
          <w:rFonts w:ascii="Courier New" w:hAnsi="Courier New" w:cs="Courier New"/>
          <w:sz w:val="20"/>
          <w:szCs w:val="20"/>
          <w:lang w:val="en-US"/>
        </w:rPr>
        <w:t>reaction</w:t>
      </w:r>
      <w:r w:rsidRPr="0011452F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A32628" w:rsidRPr="00447640" w:rsidRDefault="00A32628" w:rsidP="00AE2C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47640">
        <w:rPr>
          <w:rFonts w:ascii="Arial" w:hAnsi="Arial" w:cs="Arial"/>
          <w:sz w:val="20"/>
          <w:szCs w:val="20"/>
          <w:lang w:val="en-US"/>
        </w:rPr>
        <w:t xml:space="preserve">If the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Controller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or the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element is a Pathway element, the Interaction is always converted to a transition,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because it is biologically not possible to create a reaction with a whole pathway as a </w:t>
      </w:r>
      <w:r w:rsidR="00447640">
        <w:rPr>
          <w:rFonts w:ascii="Arial" w:hAnsi="Arial" w:cs="Arial"/>
          <w:sz w:val="20"/>
          <w:szCs w:val="20"/>
          <w:lang w:val="en-US"/>
        </w:rPr>
        <w:t>r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eactant or product. A </w:t>
      </w:r>
      <w:r w:rsidR="00AE2CB0">
        <w:rPr>
          <w:rFonts w:ascii="Courier New" w:hAnsi="Courier New" w:cs="Courier New"/>
          <w:sz w:val="20"/>
          <w:szCs w:val="20"/>
          <w:lang w:val="en-US"/>
        </w:rPr>
        <w:t>Control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="00AE2CB0">
        <w:rPr>
          <w:rFonts w:ascii="Arial" w:hAnsi="Arial" w:cs="Arial"/>
          <w:sz w:val="20"/>
          <w:szCs w:val="20"/>
          <w:lang w:val="en-US"/>
        </w:rPr>
        <w:t xml:space="preserve">entity </w:t>
      </w:r>
      <w:r w:rsidRPr="00447640">
        <w:rPr>
          <w:rFonts w:ascii="Arial" w:hAnsi="Arial" w:cs="Arial"/>
          <w:sz w:val="20"/>
          <w:szCs w:val="20"/>
          <w:lang w:val="en-US"/>
        </w:rPr>
        <w:t>is translated into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a </w:t>
      </w:r>
      <w:r w:rsidRPr="00042671">
        <w:rPr>
          <w:rFonts w:ascii="Courier New" w:hAnsi="Courier New" w:cs="Courier New"/>
          <w:sz w:val="20"/>
          <w:szCs w:val="20"/>
          <w:lang w:val="en-US"/>
        </w:rPr>
        <w:t>transition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if the </w:t>
      </w:r>
      <w:r w:rsidRPr="00AE2CB0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element is translated into a transition, too. For instance, the conversion of a </w:t>
      </w:r>
      <w:r w:rsidRPr="00042671">
        <w:rPr>
          <w:rFonts w:ascii="Courier New" w:hAnsi="Courier New" w:cs="Courier New"/>
          <w:sz w:val="20"/>
          <w:szCs w:val="20"/>
          <w:lang w:val="en-US"/>
        </w:rPr>
        <w:t>Modulation</w:t>
      </w:r>
      <w:r w:rsidRPr="00447640">
        <w:rPr>
          <w:rFonts w:ascii="Arial" w:hAnsi="Arial" w:cs="Arial"/>
          <w:sz w:val="20"/>
          <w:szCs w:val="20"/>
          <w:lang w:val="en-US"/>
        </w:rPr>
        <w:t>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consisting of a </w:t>
      </w:r>
      <w:proofErr w:type="spellStart"/>
      <w:r w:rsidRPr="00042671">
        <w:rPr>
          <w:rFonts w:ascii="Courier New" w:hAnsi="Courier New" w:cs="Courier New"/>
          <w:sz w:val="20"/>
          <w:szCs w:val="20"/>
          <w:lang w:val="en-US"/>
        </w:rPr>
        <w:t>PhysicalEntity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as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Controller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and a </w:t>
      </w:r>
      <w:proofErr w:type="spellStart"/>
      <w:r w:rsidRPr="00042671">
        <w:rPr>
          <w:rFonts w:ascii="Courier New" w:hAnsi="Courier New" w:cs="Courier New"/>
          <w:sz w:val="20"/>
          <w:szCs w:val="20"/>
          <w:lang w:val="en-US"/>
        </w:rPr>
        <w:t>BiochemicalReaction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as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, is translated into a </w:t>
      </w:r>
      <w:r w:rsidRPr="00042671">
        <w:rPr>
          <w:rFonts w:ascii="Courier New" w:hAnsi="Courier New" w:cs="Courier New"/>
          <w:sz w:val="20"/>
          <w:szCs w:val="20"/>
          <w:lang w:val="en-US"/>
        </w:rPr>
        <w:t>reaction</w:t>
      </w:r>
      <w:r w:rsidRPr="00447640">
        <w:rPr>
          <w:rFonts w:ascii="Arial" w:hAnsi="Arial" w:cs="Arial"/>
          <w:sz w:val="20"/>
          <w:szCs w:val="20"/>
          <w:lang w:val="en-US"/>
        </w:rPr>
        <w:t>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An example is shown in Figure </w:t>
      </w:r>
      <w:r w:rsidR="00AE2CB0">
        <w:rPr>
          <w:rFonts w:ascii="Arial" w:hAnsi="Arial" w:cs="Arial"/>
          <w:sz w:val="20"/>
          <w:szCs w:val="20"/>
          <w:lang w:val="en-US"/>
        </w:rPr>
        <w:t>S1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, which shows the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ceramide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signaling pathway, where the biochemical reaction from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sphingomyelin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ceramide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(the Controlled element) is positively modulated from SMPD1+ (the Controller). This modulation will be converted into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a </w:t>
      </w:r>
      <w:r w:rsidRPr="00042671">
        <w:rPr>
          <w:rFonts w:ascii="Courier New" w:hAnsi="Courier New" w:cs="Courier New"/>
          <w:sz w:val="20"/>
          <w:szCs w:val="20"/>
          <w:lang w:val="en-US"/>
        </w:rPr>
        <w:t>reaction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where SMPD1+ is modeled as an enzyme of the reaction. But if the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element is a </w:t>
      </w:r>
      <w:proofErr w:type="spellStart"/>
      <w:r w:rsidRPr="00042671">
        <w:rPr>
          <w:rFonts w:ascii="Courier New" w:hAnsi="Courier New" w:cs="Courier New"/>
          <w:sz w:val="20"/>
          <w:szCs w:val="20"/>
          <w:lang w:val="en-US"/>
        </w:rPr>
        <w:t>GeneticInteraction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>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the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Modulation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is converted into a </w:t>
      </w:r>
      <w:r w:rsidRPr="00042671">
        <w:rPr>
          <w:rFonts w:ascii="Courier New" w:hAnsi="Courier New" w:cs="Courier New"/>
          <w:sz w:val="20"/>
          <w:szCs w:val="20"/>
          <w:lang w:val="en-US"/>
        </w:rPr>
        <w:t>transition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. A detailed overview of the conversion of the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elements is shown in Table 2.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The sign attribute of the input element describes the relationship between input and output and is determined depending on the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2671">
        <w:rPr>
          <w:rFonts w:ascii="Courier New" w:hAnsi="Courier New" w:cs="Courier New"/>
          <w:sz w:val="20"/>
          <w:szCs w:val="20"/>
          <w:lang w:val="en-US"/>
        </w:rPr>
        <w:t>ControlType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attribute. This attribute is assigned to nearly all </w:t>
      </w:r>
      <w:r w:rsidRPr="00042671">
        <w:rPr>
          <w:rFonts w:ascii="Courier New" w:hAnsi="Courier New" w:cs="Courier New"/>
          <w:sz w:val="20"/>
          <w:szCs w:val="20"/>
          <w:lang w:val="en-US"/>
        </w:rPr>
        <w:t>Control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elements. If the </w:t>
      </w:r>
      <w:proofErr w:type="spellStart"/>
      <w:r w:rsidRPr="00042671">
        <w:rPr>
          <w:rFonts w:ascii="Courier New" w:hAnsi="Courier New" w:cs="Courier New"/>
          <w:sz w:val="20"/>
          <w:szCs w:val="20"/>
          <w:lang w:val="en-US"/>
        </w:rPr>
        <w:t>ControlType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is activating, </w:t>
      </w:r>
      <w:r w:rsidRPr="00042671">
        <w:rPr>
          <w:rFonts w:ascii="Courier New" w:hAnsi="Courier New" w:cs="Courier New"/>
          <w:sz w:val="20"/>
          <w:szCs w:val="20"/>
          <w:lang w:val="en-US"/>
        </w:rPr>
        <w:t>sign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is set 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042671">
        <w:rPr>
          <w:rFonts w:ascii="Arial" w:hAnsi="Arial" w:cs="Arial"/>
          <w:i/>
          <w:sz w:val="20"/>
          <w:szCs w:val="20"/>
          <w:lang w:val="en-US"/>
        </w:rPr>
        <w:t>active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; if it is inhibiting </w:t>
      </w:r>
      <w:r w:rsidRPr="00042671">
        <w:rPr>
          <w:rFonts w:ascii="Courier New" w:hAnsi="Courier New" w:cs="Courier New"/>
          <w:sz w:val="20"/>
          <w:szCs w:val="20"/>
          <w:lang w:val="en-US"/>
        </w:rPr>
        <w:t>sign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is set to </w:t>
      </w:r>
      <w:r w:rsidRPr="00042671">
        <w:rPr>
          <w:rFonts w:ascii="Arial" w:hAnsi="Arial" w:cs="Arial"/>
          <w:i/>
          <w:sz w:val="20"/>
          <w:szCs w:val="20"/>
          <w:lang w:val="en-US"/>
        </w:rPr>
        <w:t>negative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; if it is both, </w:t>
      </w:r>
      <w:r w:rsidRPr="00042671">
        <w:rPr>
          <w:rFonts w:ascii="Courier New" w:hAnsi="Courier New" w:cs="Courier New"/>
          <w:sz w:val="20"/>
          <w:szCs w:val="20"/>
          <w:lang w:val="en-US"/>
        </w:rPr>
        <w:t>sign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is set to </w:t>
      </w:r>
      <w:r w:rsidRPr="00042671">
        <w:rPr>
          <w:rFonts w:ascii="Arial" w:hAnsi="Arial" w:cs="Arial"/>
          <w:i/>
          <w:sz w:val="20"/>
          <w:szCs w:val="20"/>
          <w:lang w:val="en-US"/>
        </w:rPr>
        <w:t>dual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; otherwise </w:t>
      </w:r>
      <w:r w:rsidRPr="00042671">
        <w:rPr>
          <w:rFonts w:ascii="Courier New" w:hAnsi="Courier New" w:cs="Courier New"/>
          <w:sz w:val="20"/>
          <w:szCs w:val="20"/>
          <w:lang w:val="en-US"/>
        </w:rPr>
        <w:t>sign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 is set to </w:t>
      </w:r>
      <w:r w:rsidRPr="00042671">
        <w:rPr>
          <w:rFonts w:ascii="Arial" w:hAnsi="Arial" w:cs="Arial"/>
          <w:i/>
          <w:sz w:val="20"/>
          <w:szCs w:val="20"/>
          <w:lang w:val="en-US"/>
        </w:rPr>
        <w:t>unknown</w:t>
      </w:r>
      <w:r w:rsidRPr="00447640">
        <w:rPr>
          <w:rFonts w:ascii="Arial" w:hAnsi="Arial" w:cs="Arial"/>
          <w:sz w:val="20"/>
          <w:szCs w:val="20"/>
          <w:lang w:val="en-US"/>
        </w:rPr>
        <w:t>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772C7" w:rsidRDefault="005772C7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32628" w:rsidRPr="00201A8B" w:rsidRDefault="00097348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1420495</wp:posOffset>
            </wp:positionH>
            <wp:positionV relativeFrom="paragraph">
              <wp:posOffset>153035</wp:posOffset>
            </wp:positionV>
            <wp:extent cx="2917190" cy="2529840"/>
            <wp:effectExtent l="19050" t="0" r="0" b="0"/>
            <wp:wrapTopAndBottom/>
            <wp:docPr id="3" name="Grafik 2" descr="Buechel_Figure2_Ceramide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chel_Figure2_CeramidePart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117" w:rsidRPr="00415B22" w:rsidRDefault="00447640" w:rsidP="00AE2CB0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ind w:left="1644" w:right="1644"/>
        <w:jc w:val="both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="00A32628" w:rsidRPr="00415B22">
        <w:rPr>
          <w:rFonts w:ascii="Arial" w:hAnsi="Arial" w:cs="Arial"/>
          <w:sz w:val="17"/>
          <w:szCs w:val="17"/>
          <w:lang w:val="en-US"/>
        </w:rPr>
        <w:t>Fig.</w:t>
      </w:r>
      <w:proofErr w:type="gram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E2CB0">
        <w:rPr>
          <w:rFonts w:ascii="Arial" w:hAnsi="Arial" w:cs="Arial"/>
          <w:sz w:val="17"/>
          <w:szCs w:val="17"/>
          <w:lang w:val="en-US"/>
        </w:rPr>
        <w:t>S1</w:t>
      </w:r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. Part of the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ceramide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signaling pathway imported from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BioCarta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into the Pathway Interaction Database (PID). Modifications are drawn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with black diamonds. The entities with a black arrow to the diamond describe the modulation inputs and the entities with </w:t>
      </w:r>
      <w:proofErr w:type="gramStart"/>
      <w:r w:rsidR="00A32628" w:rsidRPr="00415B22">
        <w:rPr>
          <w:rFonts w:ascii="Arial" w:hAnsi="Arial" w:cs="Arial"/>
          <w:sz w:val="17"/>
          <w:szCs w:val="17"/>
          <w:lang w:val="en-US"/>
        </w:rPr>
        <w:t>an</w:t>
      </w:r>
      <w:proofErr w:type="gram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black arrow out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of the diamond the modulation output. The green arrows symbolize positive regulators and the round rectangles complexes. Pathways are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visualized with a trapezium. The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ceramide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signaling pathway is one pathway example for providing information which could not be translated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to SBML before the creation of the Qualitative Models extension (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qual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). With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qual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>, it is possible to translate reactions and relations, and to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include them in one model. Even pathway-reaction modulations, like the ‘response to heat’ pathway that positively stimulates the reaction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from SMPD1 to SMPD1+, can be described. (Figure by courtesy of the National Cancer Institute – http://www.cancer.gov).</w:t>
      </w:r>
    </w:p>
    <w:sectPr w:rsidR="00677117" w:rsidRPr="00415B22" w:rsidSect="00677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/>
  <w:rsids>
    <w:rsidRoot w:val="00A32628"/>
    <w:rsid w:val="00042671"/>
    <w:rsid w:val="00097348"/>
    <w:rsid w:val="0011452F"/>
    <w:rsid w:val="00201A8B"/>
    <w:rsid w:val="002A5F25"/>
    <w:rsid w:val="00415B22"/>
    <w:rsid w:val="00447640"/>
    <w:rsid w:val="005772C7"/>
    <w:rsid w:val="00677117"/>
    <w:rsid w:val="00677BE2"/>
    <w:rsid w:val="00817EE4"/>
    <w:rsid w:val="009D76A9"/>
    <w:rsid w:val="00A32628"/>
    <w:rsid w:val="00AE2CB0"/>
    <w:rsid w:val="00BF7B7F"/>
    <w:rsid w:val="00C11FD5"/>
    <w:rsid w:val="00FC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71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icletitle">
    <w:name w:val="Article title"/>
    <w:rsid w:val="00447640"/>
    <w:pPr>
      <w:spacing w:before="92" w:after="0" w:line="420" w:lineRule="exact"/>
    </w:pPr>
    <w:rPr>
      <w:rFonts w:ascii="Helvetica" w:eastAsia="Malgun Gothic" w:hAnsi="Helvetica" w:cs="Times New Roman"/>
      <w:b/>
      <w:sz w:val="32"/>
      <w:szCs w:val="20"/>
      <w:lang w:val="en-US"/>
    </w:rPr>
  </w:style>
  <w:style w:type="paragraph" w:customStyle="1" w:styleId="Authorname">
    <w:name w:val="Author name"/>
    <w:rsid w:val="00447640"/>
    <w:pPr>
      <w:spacing w:before="70" w:after="0" w:line="300" w:lineRule="exact"/>
    </w:pPr>
    <w:rPr>
      <w:rFonts w:ascii="Helvetica-Light" w:eastAsia="Malgun Gothic" w:hAnsi="Helvetica-Light" w:cs="Times New Roman"/>
      <w:iCs/>
      <w:sz w:val="26"/>
      <w:szCs w:val="20"/>
      <w:lang w:val="en-US"/>
    </w:rPr>
  </w:style>
  <w:style w:type="paragraph" w:customStyle="1" w:styleId="Affilation">
    <w:name w:val="Affilation"/>
    <w:basedOn w:val="Authorname"/>
    <w:rsid w:val="00447640"/>
    <w:pPr>
      <w:spacing w:before="40" w:after="52" w:line="240" w:lineRule="exact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2604</Characters>
  <Application>Microsoft Office Word</Application>
  <DocSecurity>0</DocSecurity>
  <Lines>45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buechel</dc:creator>
  <cp:lastModifiedBy>buechel</cp:lastModifiedBy>
  <cp:revision>8</cp:revision>
  <dcterms:created xsi:type="dcterms:W3CDTF">2012-07-26T10:11:00Z</dcterms:created>
  <dcterms:modified xsi:type="dcterms:W3CDTF">2012-07-27T09:34:00Z</dcterms:modified>
</cp:coreProperties>
</file>