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EA1AF" w14:textId="77777777" w:rsidR="00DD0569" w:rsidRPr="00FF6F8A" w:rsidRDefault="001A66DC" w:rsidP="00FF6F8A">
      <w:pPr>
        <w:pStyle w:val="Title"/>
        <w:spacing w:before="0" w:after="80"/>
        <w:rPr>
          <w:rFonts w:ascii="Times New Roman" w:hAnsi="Times New Roman" w:cs="Times New Roman"/>
          <w:color w:val="auto"/>
          <w:sz w:val="30"/>
          <w:szCs w:val="30"/>
        </w:rPr>
      </w:pPr>
      <w:r w:rsidRPr="00FF6F8A">
        <w:rPr>
          <w:rFonts w:ascii="Times New Roman" w:hAnsi="Times New Roman" w:cs="Times New Roman"/>
          <w:color w:val="auto"/>
          <w:sz w:val="30"/>
          <w:szCs w:val="30"/>
        </w:rPr>
        <w:t xml:space="preserve">Assessing the Impact of Monetary and Macroprudential </w:t>
      </w:r>
    </w:p>
    <w:p w14:paraId="211D8B65" w14:textId="77777777" w:rsidR="00DD0569" w:rsidRPr="00FF6F8A" w:rsidRDefault="001A66DC" w:rsidP="00FF6F8A">
      <w:pPr>
        <w:pStyle w:val="Title"/>
        <w:spacing w:before="0" w:after="80"/>
        <w:rPr>
          <w:rFonts w:ascii="Times New Roman" w:hAnsi="Times New Roman" w:cs="Times New Roman"/>
          <w:color w:val="auto"/>
          <w:sz w:val="30"/>
          <w:szCs w:val="30"/>
          <w:vertAlign w:val="superscript"/>
        </w:rPr>
      </w:pPr>
      <w:r w:rsidRPr="00FF6F8A">
        <w:rPr>
          <w:rFonts w:ascii="Times New Roman" w:hAnsi="Times New Roman" w:cs="Times New Roman"/>
          <w:color w:val="auto"/>
          <w:sz w:val="30"/>
          <w:szCs w:val="30"/>
        </w:rPr>
        <w:t>Policies on Israel's Housing Market: A DSGE Model Approach</w:t>
      </w:r>
      <w:r w:rsidR="00FF6F8A" w:rsidRPr="00FF6F8A">
        <w:rPr>
          <w:rFonts w:ascii="Times New Roman" w:hAnsi="Times New Roman" w:cs="Times New Roman"/>
          <w:color w:val="auto"/>
          <w:sz w:val="30"/>
          <w:szCs w:val="30"/>
          <w:vertAlign w:val="superscript"/>
        </w:rPr>
        <w:t>1</w:t>
      </w:r>
    </w:p>
    <w:p w14:paraId="1E517B6E" w14:textId="77777777" w:rsidR="00DD0569" w:rsidRPr="00FF6F8A" w:rsidRDefault="001A66DC" w:rsidP="004C3251">
      <w:pPr>
        <w:pStyle w:val="Author"/>
        <w:spacing w:line="480" w:lineRule="auto"/>
        <w:rPr>
          <w:rFonts w:ascii="Times New Roman" w:hAnsi="Times New Roman" w:cs="Times New Roman"/>
          <w:b/>
          <w:bCs/>
          <w:sz w:val="26"/>
          <w:szCs w:val="26"/>
        </w:rPr>
      </w:pPr>
      <w:r w:rsidRPr="00FF6F8A">
        <w:rPr>
          <w:rFonts w:ascii="Times New Roman" w:hAnsi="Times New Roman" w:cs="Times New Roman"/>
          <w:b/>
          <w:bCs/>
          <w:sz w:val="26"/>
          <w:szCs w:val="26"/>
        </w:rPr>
        <w:t>Alex Ilek</w:t>
      </w:r>
      <w:r w:rsidR="00FF6F8A" w:rsidRPr="00FF6F8A">
        <w:rPr>
          <w:rFonts w:ascii="Times New Roman" w:hAnsi="Times New Roman" w:cs="Times New Roman"/>
          <w:b/>
          <w:bCs/>
          <w:sz w:val="26"/>
          <w:szCs w:val="26"/>
          <w:vertAlign w:val="superscript"/>
        </w:rPr>
        <w:t>*</w:t>
      </w:r>
      <w:r w:rsidRPr="00FF6F8A">
        <w:rPr>
          <w:rFonts w:ascii="Times New Roman" w:hAnsi="Times New Roman" w:cs="Times New Roman"/>
          <w:b/>
          <w:bCs/>
          <w:sz w:val="26"/>
          <w:szCs w:val="26"/>
        </w:rPr>
        <w:t>, Nimrod Cohen</w:t>
      </w:r>
      <w:r w:rsidR="00FF6F8A" w:rsidRPr="00FF6F8A">
        <w:rPr>
          <w:rFonts w:ascii="Times New Roman" w:hAnsi="Times New Roman" w:cs="Times New Roman"/>
          <w:b/>
          <w:bCs/>
          <w:sz w:val="26"/>
          <w:szCs w:val="26"/>
        </w:rPr>
        <w:t>**</w:t>
      </w:r>
      <w:r w:rsidRPr="00FF6F8A">
        <w:rPr>
          <w:rFonts w:ascii="Times New Roman" w:hAnsi="Times New Roman" w:cs="Times New Roman"/>
          <w:b/>
          <w:bCs/>
          <w:sz w:val="26"/>
          <w:szCs w:val="26"/>
        </w:rPr>
        <w:t>, and Yaakov Chen-Zion</w:t>
      </w:r>
      <w:r w:rsidR="00F1441D" w:rsidRPr="00FF6F8A">
        <w:rPr>
          <w:rFonts w:ascii="Times New Roman" w:hAnsi="Times New Roman" w:cs="Times New Roman"/>
          <w:b/>
          <w:bCs/>
          <w:sz w:val="26"/>
          <w:szCs w:val="26"/>
        </w:rPr>
        <w:t>***</w:t>
      </w:r>
    </w:p>
    <w:p w14:paraId="36F8E016" w14:textId="7DE32F76" w:rsidR="004C3251" w:rsidRDefault="00D345C4" w:rsidP="003063FE">
      <w:pPr>
        <w:pStyle w:val="Date"/>
        <w:rPr>
          <w:rStyle w:val="Emphasis"/>
          <w:rFonts w:ascii="Times New Roman" w:hAnsi="Times New Roman" w:cs="Times New Roman"/>
          <w:b/>
          <w:bCs/>
          <w:i w:val="0"/>
          <w:iCs w:val="0"/>
          <w:sz w:val="28"/>
          <w:szCs w:val="28"/>
        </w:rPr>
      </w:pPr>
      <w:r>
        <w:rPr>
          <w:rStyle w:val="Emphasis"/>
          <w:rFonts w:ascii="Times New Roman" w:hAnsi="Times New Roman" w:cs="Times New Roman"/>
          <w:i w:val="0"/>
          <w:iCs w:val="0"/>
          <w:sz w:val="28"/>
          <w:szCs w:val="28"/>
        </w:rPr>
        <w:t>March</w:t>
      </w:r>
      <w:r w:rsidR="004E5DD2">
        <w:rPr>
          <w:rStyle w:val="Emphasis"/>
          <w:rFonts w:ascii="Times New Roman" w:hAnsi="Times New Roman" w:cs="Times New Roman"/>
          <w:i w:val="0"/>
          <w:iCs w:val="0"/>
          <w:sz w:val="28"/>
          <w:szCs w:val="28"/>
        </w:rPr>
        <w:t xml:space="preserve"> </w:t>
      </w:r>
      <w:r w:rsidR="00D7544A">
        <w:rPr>
          <w:rStyle w:val="Emphasis"/>
          <w:rFonts w:ascii="Times New Roman" w:hAnsi="Times New Roman" w:cs="Times New Roman"/>
          <w:i w:val="0"/>
          <w:iCs w:val="0"/>
          <w:sz w:val="28"/>
          <w:szCs w:val="28"/>
        </w:rPr>
        <w:t>10</w:t>
      </w:r>
      <w:r w:rsidR="004E5DD2">
        <w:rPr>
          <w:rStyle w:val="Emphasis"/>
          <w:rFonts w:ascii="Times New Roman" w:hAnsi="Times New Roman" w:cs="Times New Roman"/>
          <w:i w:val="0"/>
          <w:iCs w:val="0"/>
          <w:sz w:val="28"/>
          <w:szCs w:val="28"/>
        </w:rPr>
        <w:t>,</w:t>
      </w:r>
      <w:r w:rsidR="00DB1149">
        <w:rPr>
          <w:rStyle w:val="Emphasis"/>
          <w:rFonts w:ascii="Times New Roman" w:hAnsi="Times New Roman" w:cs="Times New Roman"/>
          <w:i w:val="0"/>
          <w:iCs w:val="0"/>
          <w:sz w:val="28"/>
          <w:szCs w:val="28"/>
        </w:rPr>
        <w:t xml:space="preserve"> </w:t>
      </w:r>
      <w:r w:rsidR="00734802">
        <w:rPr>
          <w:rStyle w:val="Emphasis"/>
          <w:rFonts w:ascii="Times New Roman" w:hAnsi="Times New Roman" w:cs="Times New Roman"/>
          <w:i w:val="0"/>
          <w:iCs w:val="0"/>
          <w:sz w:val="28"/>
          <w:szCs w:val="28"/>
        </w:rPr>
        <w:t>202</w:t>
      </w:r>
      <w:r w:rsidR="00DB1149">
        <w:rPr>
          <w:rStyle w:val="Emphasis"/>
          <w:rFonts w:ascii="Times New Roman" w:hAnsi="Times New Roman" w:cs="Times New Roman"/>
          <w:i w:val="0"/>
          <w:iCs w:val="0"/>
          <w:sz w:val="28"/>
          <w:szCs w:val="28"/>
        </w:rPr>
        <w:t>6</w:t>
      </w:r>
    </w:p>
    <w:p w14:paraId="779280C4" w14:textId="77777777" w:rsidR="003063FE" w:rsidRPr="00CF3DFB" w:rsidRDefault="003063FE" w:rsidP="003063FE">
      <w:pPr>
        <w:pStyle w:val="AbstractTitle"/>
        <w:spacing w:line="480" w:lineRule="auto"/>
        <w:rPr>
          <w:color w:val="auto"/>
          <w:rtl/>
        </w:rPr>
      </w:pPr>
      <w:r w:rsidRPr="00CF3DFB">
        <w:rPr>
          <w:color w:val="auto"/>
        </w:rPr>
        <w:t>Abstract</w:t>
      </w:r>
    </w:p>
    <w:p w14:paraId="4A62CDDF" w14:textId="77777777" w:rsidR="003063FE" w:rsidRDefault="003063FE" w:rsidP="0002179D">
      <w:pPr>
        <w:pStyle w:val="Abstract"/>
        <w:jc w:val="both"/>
      </w:pPr>
      <w:bookmarkStart w:id="0" w:name="OLE_LINK42"/>
      <w:r w:rsidRPr="003375E7">
        <w:t>We develop and calibrate a dynamic stochastic general equilibrium (DSGE) model tailored to the Israeli economy, incorporating key features of its housing market—both ownership and rental segments—and household heterogeneity. The model is used to analyze the effects of monetary and macroprudential policies, as well as their interaction, on the housing market and the broader economy. Specifically, we examine how macroprudential measures—such as changes in the loan</w:t>
      </w:r>
      <w:r w:rsidRPr="003375E7">
        <w:rPr>
          <w:rFonts w:ascii="Cambria Math" w:hAnsi="Cambria Math" w:cs="Cambria Math"/>
        </w:rPr>
        <w:t>‑</w:t>
      </w:r>
      <w:r w:rsidRPr="003375E7">
        <w:t>to</w:t>
      </w:r>
      <w:r w:rsidRPr="003375E7">
        <w:rPr>
          <w:rFonts w:ascii="Cambria Math" w:hAnsi="Cambria Math" w:cs="Cambria Math"/>
        </w:rPr>
        <w:t>‑</w:t>
      </w:r>
      <w:r w:rsidRPr="003375E7">
        <w:t>value (LTV) ratio and restrictions on the share of time</w:t>
      </w:r>
      <w:r w:rsidRPr="003375E7">
        <w:rPr>
          <w:rFonts w:ascii="Cambria Math" w:hAnsi="Cambria Math" w:cs="Cambria Math"/>
        </w:rPr>
        <w:t>‑</w:t>
      </w:r>
      <w:r w:rsidRPr="003375E7">
        <w:t>varying</w:t>
      </w:r>
      <w:r w:rsidRPr="003375E7">
        <w:rPr>
          <w:rFonts w:ascii="Cambria Math" w:hAnsi="Cambria Math" w:cs="Cambria Math"/>
        </w:rPr>
        <w:t>‑</w:t>
      </w:r>
      <w:r w:rsidRPr="003375E7">
        <w:t>rate mortgages</w:t>
      </w:r>
      <w:r w:rsidRPr="003375E7">
        <w:rPr>
          <w:rFonts w:ascii="Utopia" w:hAnsi="Utopia" w:cs="Utopia"/>
        </w:rPr>
        <w:t>—</w:t>
      </w:r>
      <w:r w:rsidRPr="003375E7">
        <w:t>affect the ability of monetary policy to achieve its objectives of price and real activity stability, and how these tools influence housing market outcomes, including mortgage volumes and housing prices.</w:t>
      </w:r>
    </w:p>
    <w:p w14:paraId="26A3D2FD" w14:textId="77777777" w:rsidR="003063FE" w:rsidRPr="00252CBA" w:rsidRDefault="003063FE" w:rsidP="003063FE">
      <w:pPr>
        <w:pStyle w:val="BodyText"/>
      </w:pPr>
    </w:p>
    <w:bookmarkEnd w:id="0"/>
    <w:p w14:paraId="75E1F312" w14:textId="77777777" w:rsidR="003063FE" w:rsidRDefault="003063FE" w:rsidP="003063FE">
      <w:pPr>
        <w:pStyle w:val="BodyText"/>
      </w:pPr>
      <w:r w:rsidRPr="00F01688">
        <w:t>JEL classification: R21, E32, E52, E61.</w:t>
      </w:r>
    </w:p>
    <w:p w14:paraId="22B58288" w14:textId="7836FE75" w:rsidR="003063FE" w:rsidRDefault="003063FE" w:rsidP="003063FE">
      <w:pPr>
        <w:pStyle w:val="BodyText"/>
      </w:pPr>
      <w:r w:rsidRPr="00D359D4">
        <w:t xml:space="preserve">Keywords: </w:t>
      </w:r>
      <w:r>
        <w:t>housing market, monetary policy, macroprudential policy, ownership-to-rent ratio, heterogeneous households</w:t>
      </w:r>
    </w:p>
    <w:p w14:paraId="5B10FC68" w14:textId="77777777" w:rsidR="00CC52DB" w:rsidRPr="002D287C" w:rsidRDefault="00CC52DB" w:rsidP="00FF6F8A">
      <w:pPr>
        <w:bidi w:val="0"/>
        <w:ind w:left="122" w:hanging="118"/>
        <w:jc w:val="both"/>
        <w:rPr>
          <w:rFonts w:ascii="Times New Roman" w:hAnsi="Times New Roman" w:cs="Times New Roman"/>
          <w:sz w:val="28"/>
          <w:szCs w:val="32"/>
        </w:rPr>
      </w:pPr>
    </w:p>
    <w:p w14:paraId="35AFF840" w14:textId="77777777" w:rsidR="00CC52DB" w:rsidRPr="00FF6F8A" w:rsidRDefault="001A66DC" w:rsidP="00FF6F8A">
      <w:pPr>
        <w:bidi w:val="0"/>
        <w:spacing w:line="290" w:lineRule="atLeast"/>
        <w:ind w:left="567" w:hanging="567"/>
        <w:jc w:val="both"/>
        <w:rPr>
          <w:rFonts w:ascii="Times New Roman" w:hAnsi="Times New Roman" w:cs="Times New Roman"/>
          <w:rtl/>
        </w:rPr>
      </w:pPr>
      <w:r w:rsidRPr="00FF6F8A">
        <w:rPr>
          <w:rFonts w:ascii="Times New Roman" w:eastAsia="Calibri" w:hAnsi="Times New Roman" w:cs="Times New Roman"/>
          <w:rtl/>
        </w:rPr>
        <w:t>_______________________</w:t>
      </w:r>
    </w:p>
    <w:p w14:paraId="0CB55A20" w14:textId="2EC72438" w:rsidR="00DB1149" w:rsidRPr="00DB1149" w:rsidRDefault="001A66DC" w:rsidP="00DB1149">
      <w:pPr>
        <w:bidi w:val="0"/>
        <w:spacing w:after="40" w:line="240" w:lineRule="auto"/>
        <w:ind w:left="227" w:right="-483" w:hanging="284"/>
        <w:jc w:val="both"/>
        <w:rPr>
          <w:rStyle w:val="Emphasis"/>
          <w:rFonts w:ascii="Times New Roman" w:hAnsi="Times New Roman" w:cs="Times New Roman"/>
          <w:i w:val="0"/>
          <w:iCs w:val="0"/>
        </w:rPr>
      </w:pPr>
      <w:r w:rsidRPr="002D287C">
        <w:rPr>
          <w:rStyle w:val="Emphasis"/>
          <w:rFonts w:ascii="Times New Roman" w:hAnsi="Times New Roman" w:cs="Times New Roman"/>
          <w:i w:val="0"/>
          <w:iCs w:val="0"/>
          <w:vertAlign w:val="superscript"/>
        </w:rPr>
        <w:t>*</w:t>
      </w:r>
      <w:r w:rsidR="002D287C" w:rsidRPr="002D287C">
        <w:rPr>
          <w:rFonts w:ascii="Times New Roman" w:hAnsi="Times New Roman" w:cs="Times New Roman"/>
          <w:i/>
          <w:iCs/>
        </w:rPr>
        <w:tab/>
      </w:r>
      <w:r w:rsidR="00FF6F8A" w:rsidRPr="002D287C">
        <w:rPr>
          <w:rFonts w:ascii="Times New Roman" w:hAnsi="Times New Roman" w:cs="Times New Roman"/>
        </w:rPr>
        <w:t>Alex Ilek</w:t>
      </w:r>
      <w:r w:rsidR="002D287C" w:rsidRPr="002D287C">
        <w:rPr>
          <w:rStyle w:val="Emphasis"/>
          <w:rFonts w:ascii="Times New Roman" w:hAnsi="Times New Roman" w:cs="Times New Roman"/>
          <w:i w:val="0"/>
          <w:iCs w:val="0"/>
        </w:rPr>
        <w:t xml:space="preserve"> </w:t>
      </w:r>
      <w:r w:rsidRPr="002D287C">
        <w:rPr>
          <w:rStyle w:val="Emphasis"/>
          <w:rFonts w:ascii="Times New Roman" w:hAnsi="Times New Roman" w:cs="Times New Roman"/>
          <w:i w:val="0"/>
          <w:iCs w:val="0"/>
        </w:rPr>
        <w:t>– Research Department, Bank of Israel. Email:</w:t>
      </w:r>
      <w:r w:rsidR="00DB142B">
        <w:rPr>
          <w:rStyle w:val="Emphasis"/>
          <w:rFonts w:ascii="Times New Roman" w:hAnsi="Times New Roman" w:cs="Times New Roman"/>
          <w:i w:val="0"/>
          <w:iCs w:val="0"/>
        </w:rPr>
        <w:t xml:space="preserve"> </w:t>
      </w:r>
      <w:hyperlink r:id="rId10" w:history="1">
        <w:r w:rsidR="00DB1149" w:rsidRPr="00505D47">
          <w:rPr>
            <w:rStyle w:val="Hyperlink"/>
            <w:rFonts w:ascii="Times New Roman" w:eastAsia="Calibri" w:hAnsi="Times New Roman" w:cs="Times New Roman"/>
            <w:b/>
            <w:bCs/>
            <w:i w:val="0"/>
            <w:u w:val="single"/>
          </w:rPr>
          <w:t>alexei.ilek@boi.org.il</w:t>
        </w:r>
      </w:hyperlink>
    </w:p>
    <w:p w14:paraId="22D44495" w14:textId="3ED02EC9" w:rsidR="00CC52DB" w:rsidRPr="00EE03AC" w:rsidRDefault="001A66DC" w:rsidP="002D287C">
      <w:pPr>
        <w:bidi w:val="0"/>
        <w:spacing w:after="40" w:line="240" w:lineRule="auto"/>
        <w:ind w:left="227" w:right="-483" w:hanging="284"/>
        <w:jc w:val="both"/>
        <w:rPr>
          <w:rStyle w:val="Hyperlink"/>
          <w:rFonts w:eastAsia="Calibri" w:cs="Times New Roman"/>
          <w:b/>
          <w:bCs/>
          <w:i w:val="0"/>
          <w:u w:val="single"/>
        </w:rPr>
      </w:pPr>
      <w:r w:rsidRPr="002D287C">
        <w:rPr>
          <w:rStyle w:val="Emphasis"/>
          <w:rFonts w:ascii="Times New Roman" w:hAnsi="Times New Roman" w:cs="Times New Roman"/>
          <w:i w:val="0"/>
          <w:iCs w:val="0"/>
          <w:vertAlign w:val="superscript"/>
        </w:rPr>
        <w:t>**</w:t>
      </w:r>
      <w:r w:rsidR="002D287C" w:rsidRPr="002D287C">
        <w:rPr>
          <w:rFonts w:ascii="Times New Roman" w:hAnsi="Times New Roman" w:cs="Times New Roman"/>
        </w:rPr>
        <w:tab/>
      </w:r>
      <w:r w:rsidR="00FF6F8A" w:rsidRPr="002D287C">
        <w:rPr>
          <w:rFonts w:ascii="Times New Roman" w:hAnsi="Times New Roman" w:cs="Times New Roman"/>
        </w:rPr>
        <w:t>Nimrod</w:t>
      </w:r>
      <w:r w:rsidR="002D287C" w:rsidRPr="002D287C">
        <w:rPr>
          <w:rFonts w:ascii="Times New Roman" w:hAnsi="Times New Roman" w:cs="Times New Roman"/>
        </w:rPr>
        <w:t xml:space="preserve"> </w:t>
      </w:r>
      <w:r w:rsidR="00FF6F8A" w:rsidRPr="002D287C">
        <w:rPr>
          <w:rFonts w:ascii="Times New Roman" w:hAnsi="Times New Roman" w:cs="Times New Roman"/>
        </w:rPr>
        <w:t>Cohen</w:t>
      </w:r>
      <w:r w:rsidRPr="002D287C">
        <w:rPr>
          <w:rStyle w:val="Emphasis"/>
          <w:rFonts w:ascii="Times New Roman" w:hAnsi="Times New Roman" w:cs="Times New Roman"/>
          <w:i w:val="0"/>
          <w:iCs w:val="0"/>
        </w:rPr>
        <w:t xml:space="preserve">– </w:t>
      </w:r>
      <w:r w:rsidR="006D7C62" w:rsidRPr="002D287C">
        <w:rPr>
          <w:rStyle w:val="Emphasis"/>
          <w:rFonts w:ascii="Times New Roman" w:hAnsi="Times New Roman" w:cs="Times New Roman"/>
          <w:i w:val="0"/>
          <w:iCs w:val="0"/>
        </w:rPr>
        <w:t>Research Department</w:t>
      </w:r>
      <w:r w:rsidRPr="002D287C">
        <w:rPr>
          <w:rStyle w:val="Emphasis"/>
          <w:rFonts w:ascii="Times New Roman" w:hAnsi="Times New Roman" w:cs="Times New Roman"/>
          <w:i w:val="0"/>
          <w:iCs w:val="0"/>
        </w:rPr>
        <w:t xml:space="preserve">, Bank of Israel. Email: </w:t>
      </w:r>
      <w:hyperlink r:id="rId11" w:history="1">
        <w:r w:rsidR="00FF6F8A" w:rsidRPr="00EE03AC">
          <w:rPr>
            <w:rStyle w:val="Hyperlink"/>
            <w:rFonts w:ascii="Times New Roman" w:eastAsia="Calibri" w:hAnsi="Times New Roman" w:cs="Times New Roman"/>
            <w:b/>
            <w:bCs/>
            <w:i w:val="0"/>
            <w:u w:val="single"/>
          </w:rPr>
          <w:t>nimrod.cohen@boi.org.il</w:t>
        </w:r>
      </w:hyperlink>
    </w:p>
    <w:p w14:paraId="4457D8E7" w14:textId="77777777" w:rsidR="00CC52DB" w:rsidRDefault="001A66DC" w:rsidP="00EE03AC">
      <w:pPr>
        <w:bidi w:val="0"/>
        <w:spacing w:after="40" w:line="240" w:lineRule="auto"/>
        <w:ind w:left="227" w:right="-766" w:hanging="284"/>
        <w:jc w:val="both"/>
        <w:rPr>
          <w:rStyle w:val="Hyperlink"/>
          <w:rFonts w:eastAsia="Calibri" w:cs="Times New Roman"/>
          <w:b/>
          <w:bCs/>
          <w:i w:val="0"/>
          <w:u w:val="single"/>
        </w:rPr>
      </w:pPr>
      <w:r w:rsidRPr="002D287C">
        <w:rPr>
          <w:rStyle w:val="Emphasis"/>
          <w:rFonts w:ascii="Times New Roman" w:hAnsi="Times New Roman" w:cs="Times New Roman"/>
          <w:i w:val="0"/>
          <w:iCs w:val="0"/>
          <w:vertAlign w:val="superscript"/>
        </w:rPr>
        <w:t>***</w:t>
      </w:r>
      <w:r w:rsidR="002D287C" w:rsidRPr="002D287C">
        <w:rPr>
          <w:rFonts w:ascii="Times New Roman" w:hAnsi="Times New Roman" w:cs="Times New Roman"/>
        </w:rPr>
        <w:tab/>
      </w:r>
      <w:r w:rsidR="00FF6F8A" w:rsidRPr="002D287C">
        <w:rPr>
          <w:rFonts w:ascii="Times New Roman" w:hAnsi="Times New Roman" w:cs="Times New Roman"/>
        </w:rPr>
        <w:t>Yaakov Chen-Zion</w:t>
      </w:r>
      <w:r w:rsidR="00FF6F8A" w:rsidRPr="002D287C">
        <w:rPr>
          <w:rStyle w:val="Emphasis"/>
          <w:rFonts w:ascii="Times New Roman" w:hAnsi="Times New Roman" w:cs="Times New Roman"/>
          <w:i w:val="0"/>
          <w:iCs w:val="0"/>
        </w:rPr>
        <w:t xml:space="preserve"> </w:t>
      </w:r>
      <w:r w:rsidRPr="002D287C">
        <w:rPr>
          <w:rStyle w:val="Emphasis"/>
          <w:rFonts w:ascii="Times New Roman" w:hAnsi="Times New Roman" w:cs="Times New Roman"/>
          <w:i w:val="0"/>
          <w:iCs w:val="0"/>
        </w:rPr>
        <w:t xml:space="preserve">– Research Department, Bank of Israel. </w:t>
      </w:r>
      <w:r w:rsidR="00FF6F8A" w:rsidRPr="002D287C">
        <w:rPr>
          <w:rStyle w:val="Emphasis"/>
          <w:rFonts w:ascii="Times New Roman" w:hAnsi="Times New Roman" w:cs="Times New Roman"/>
          <w:i w:val="0"/>
          <w:iCs w:val="0"/>
        </w:rPr>
        <w:t xml:space="preserve">Email: </w:t>
      </w:r>
      <w:hyperlink r:id="rId12" w:history="1">
        <w:r w:rsidR="00FF6F8A" w:rsidRPr="00EE03AC">
          <w:rPr>
            <w:rStyle w:val="Hyperlink"/>
            <w:rFonts w:ascii="Times New Roman" w:eastAsia="Calibri" w:hAnsi="Times New Roman" w:cs="Times New Roman"/>
            <w:b/>
            <w:bCs/>
            <w:i w:val="0"/>
            <w:u w:val="single"/>
          </w:rPr>
          <w:t>yaakov.chen-zion@boi.org.il</w:t>
        </w:r>
      </w:hyperlink>
      <w:r w:rsidR="00FF6F8A" w:rsidRPr="00EE03AC">
        <w:rPr>
          <w:rStyle w:val="Hyperlink"/>
          <w:rFonts w:eastAsia="Calibri" w:cs="Times New Roman"/>
          <w:b/>
          <w:bCs/>
          <w:i w:val="0"/>
          <w:u w:val="single"/>
        </w:rPr>
        <w:t xml:space="preserve"> </w:t>
      </w:r>
    </w:p>
    <w:p w14:paraId="7724F741" w14:textId="77777777" w:rsidR="00D5184A" w:rsidRPr="00EE03AC" w:rsidRDefault="00D5184A" w:rsidP="00D5184A">
      <w:pPr>
        <w:bidi w:val="0"/>
        <w:spacing w:after="40" w:line="240" w:lineRule="auto"/>
        <w:ind w:left="227" w:right="-766" w:hanging="284"/>
        <w:jc w:val="both"/>
        <w:rPr>
          <w:rStyle w:val="Hyperlink"/>
          <w:rFonts w:eastAsia="Calibri" w:cs="Times New Roman"/>
          <w:b/>
          <w:bCs/>
          <w:i w:val="0"/>
          <w:u w:val="single"/>
        </w:rPr>
      </w:pPr>
    </w:p>
    <w:p w14:paraId="7928E869" w14:textId="3E080271" w:rsidR="00CC52DB" w:rsidRDefault="000B5A94" w:rsidP="003966F9">
      <w:pPr>
        <w:pStyle w:val="ListParagraph"/>
        <w:numPr>
          <w:ilvl w:val="0"/>
          <w:numId w:val="19"/>
        </w:numPr>
        <w:autoSpaceDE w:val="0"/>
        <w:autoSpaceDN w:val="0"/>
        <w:bidi w:val="0"/>
        <w:adjustRightInd w:val="0"/>
        <w:spacing w:after="40" w:line="240" w:lineRule="auto"/>
        <w:jc w:val="both"/>
        <w:rPr>
          <w:rFonts w:asciiTheme="majorHAnsi" w:hAnsiTheme="majorHAnsi" w:cs="Times New Roman"/>
          <w:sz w:val="24"/>
          <w:szCs w:val="24"/>
        </w:rPr>
      </w:pPr>
      <w:r w:rsidRPr="003966F9">
        <w:rPr>
          <w:rFonts w:ascii="Times New Roman" w:hAnsi="Times New Roman" w:cs="Times New Roman"/>
          <w:sz w:val="24"/>
          <w:szCs w:val="24"/>
        </w:rPr>
        <w:t>We are grateful to Yossi Yakhin for his insightful discussion and valuable comments,</w:t>
      </w:r>
      <w:r w:rsidR="00ED40E3" w:rsidRPr="003966F9">
        <w:rPr>
          <w:rFonts w:ascii="Times New Roman" w:hAnsi="Times New Roman" w:cs="Times New Roman"/>
          <w:sz w:val="24"/>
          <w:szCs w:val="24"/>
        </w:rPr>
        <w:t xml:space="preserve"> </w:t>
      </w:r>
      <w:r w:rsidRPr="003966F9">
        <w:rPr>
          <w:rFonts w:ascii="Times New Roman" w:hAnsi="Times New Roman" w:cs="Times New Roman"/>
          <w:sz w:val="24"/>
          <w:szCs w:val="24"/>
        </w:rPr>
        <w:t>which greatly contributed to improving this paper. We also thank</w:t>
      </w:r>
      <w:r w:rsidR="00DB1149" w:rsidRPr="003966F9">
        <w:rPr>
          <w:rFonts w:ascii="Times New Roman" w:hAnsi="Times New Roman" w:cs="Times New Roman"/>
          <w:sz w:val="24"/>
          <w:szCs w:val="24"/>
        </w:rPr>
        <w:t xml:space="preserve"> Oren </w:t>
      </w:r>
      <w:proofErr w:type="spellStart"/>
      <w:r w:rsidR="00DB1149" w:rsidRPr="003966F9">
        <w:rPr>
          <w:rFonts w:ascii="Times New Roman" w:hAnsi="Times New Roman" w:cs="Times New Roman"/>
          <w:sz w:val="24"/>
          <w:szCs w:val="24"/>
        </w:rPr>
        <w:t>Levintal</w:t>
      </w:r>
      <w:proofErr w:type="spellEnd"/>
      <w:r w:rsidR="00DB1149" w:rsidRPr="003966F9">
        <w:rPr>
          <w:rFonts w:ascii="Times New Roman" w:hAnsi="Times New Roman" w:cs="Times New Roman"/>
          <w:sz w:val="24"/>
          <w:szCs w:val="24"/>
        </w:rPr>
        <w:t xml:space="preserve"> for his discussion, and </w:t>
      </w:r>
      <w:r w:rsidR="00BB57CF" w:rsidRPr="003966F9">
        <w:rPr>
          <w:rFonts w:ascii="Times New Roman" w:hAnsi="Times New Roman" w:cs="Times New Roman"/>
          <w:sz w:val="24"/>
          <w:szCs w:val="24"/>
        </w:rPr>
        <w:t xml:space="preserve">Adi Brender, </w:t>
      </w:r>
      <w:r w:rsidRPr="003966F9">
        <w:rPr>
          <w:rFonts w:ascii="Times New Roman" w:hAnsi="Times New Roman" w:cs="Times New Roman"/>
          <w:sz w:val="24"/>
          <w:szCs w:val="24"/>
        </w:rPr>
        <w:t>Eliezer Borenstein,</w:t>
      </w:r>
      <w:r w:rsidR="00ED40E3" w:rsidRPr="003966F9">
        <w:rPr>
          <w:rFonts w:ascii="Times New Roman" w:hAnsi="Times New Roman" w:cs="Times New Roman"/>
          <w:sz w:val="24"/>
          <w:szCs w:val="24"/>
        </w:rPr>
        <w:t xml:space="preserve"> </w:t>
      </w:r>
      <w:r w:rsidRPr="003966F9">
        <w:rPr>
          <w:rFonts w:ascii="Times New Roman" w:hAnsi="Times New Roman" w:cs="Times New Roman"/>
          <w:sz w:val="24"/>
          <w:szCs w:val="24"/>
        </w:rPr>
        <w:t xml:space="preserve">Alon Benyamini, Yoav Friedman, Sigal </w:t>
      </w:r>
      <w:proofErr w:type="spellStart"/>
      <w:r w:rsidRPr="003966F9">
        <w:rPr>
          <w:rFonts w:ascii="Times New Roman" w:hAnsi="Times New Roman" w:cs="Times New Roman"/>
          <w:sz w:val="24"/>
          <w:szCs w:val="24"/>
        </w:rPr>
        <w:t>Ribon</w:t>
      </w:r>
      <w:proofErr w:type="spellEnd"/>
      <w:r w:rsidRPr="003966F9">
        <w:rPr>
          <w:rFonts w:ascii="Times New Roman" w:hAnsi="Times New Roman" w:cs="Times New Roman"/>
          <w:sz w:val="24"/>
          <w:szCs w:val="24"/>
        </w:rPr>
        <w:t>, and the other participants in the Bank of Israel Research Department seminar for their helpful feedback and suggestions</w:t>
      </w:r>
      <w:r w:rsidRPr="003966F9">
        <w:rPr>
          <w:rFonts w:asciiTheme="majorHAnsi" w:hAnsiTheme="majorHAnsi" w:cs="Times New Roman"/>
          <w:sz w:val="24"/>
          <w:szCs w:val="24"/>
        </w:rPr>
        <w:t>.</w:t>
      </w:r>
    </w:p>
    <w:p w14:paraId="4BEF7FD6" w14:textId="0F4F2B8A" w:rsidR="003966F9" w:rsidRPr="00D5184A" w:rsidRDefault="00D5184A" w:rsidP="00D5184A">
      <w:pPr>
        <w:pStyle w:val="BodyText"/>
        <w:numPr>
          <w:ilvl w:val="0"/>
          <w:numId w:val="19"/>
        </w:numPr>
      </w:pPr>
      <w:r>
        <w:t xml:space="preserve">Supplementary material can be found </w:t>
      </w:r>
      <w:hyperlink r:id="rId13" w:history="1">
        <w:r>
          <w:rPr>
            <w:rStyle w:val="Hyperlink"/>
            <w:rFonts w:cstheme="minorBidi"/>
          </w:rPr>
          <w:t>h</w:t>
        </w:r>
        <w:r w:rsidRPr="00A337AF">
          <w:rPr>
            <w:rStyle w:val="Hyperlink"/>
            <w:rFonts w:cstheme="minorBidi"/>
          </w:rPr>
          <w:t>ere</w:t>
        </w:r>
      </w:hyperlink>
      <w:r>
        <w:t xml:space="preserve">.  </w:t>
      </w:r>
      <w:r w:rsidR="003966F9" w:rsidRPr="00D5184A">
        <w:rPr>
          <w:rFonts w:ascii="Times New Roman" w:hAnsi="Times New Roman" w:cs="Times New Roman"/>
          <w:color w:val="000000"/>
        </w:rPr>
        <w:br w:type="page"/>
      </w:r>
    </w:p>
    <w:p w14:paraId="19160AC7" w14:textId="77777777" w:rsidR="002543DE" w:rsidRDefault="001A66DC" w:rsidP="00F73527">
      <w:pPr>
        <w:pStyle w:val="Heading1"/>
        <w:rPr>
          <w:rtl/>
          <w:lang w:bidi="he-IL"/>
        </w:rPr>
      </w:pPr>
      <w:r w:rsidRPr="00F73527">
        <w:lastRenderedPageBreak/>
        <w:t>I</w:t>
      </w:r>
      <w:r w:rsidR="00CD64B9" w:rsidRPr="00F73527">
        <w:t>ntroduction</w:t>
      </w:r>
      <w:r w:rsidRPr="00F73527">
        <w:rPr>
          <w:highlight w:val="yellow"/>
        </w:rPr>
        <w:t xml:space="preserve"> </w:t>
      </w:r>
    </w:p>
    <w:p w14:paraId="574A7B37" w14:textId="77777777" w:rsidR="008554FE" w:rsidRDefault="008554FE" w:rsidP="008554FE">
      <w:pPr>
        <w:pStyle w:val="BodyText"/>
      </w:pPr>
      <w:bookmarkStart w:id="1" w:name="OLE_LINK27"/>
      <w:r w:rsidRPr="008554FE">
        <w:t>In this paper, we aim to examine the effects of monetary and macroprudential policies on the Israeli housing market and the broader economy. Specifically, we seek to understand the transmission of monetary policy—its mechanisms and main channels—within the Israeli context.</w:t>
      </w:r>
      <w:r>
        <w:t xml:space="preserve"> Our analysis addresses three key questions:</w:t>
      </w:r>
    </w:p>
    <w:p w14:paraId="3CC77272" w14:textId="5E929D16" w:rsidR="00523839" w:rsidRDefault="00940540" w:rsidP="00940540">
      <w:pPr>
        <w:pStyle w:val="BodyText"/>
        <w:numPr>
          <w:ilvl w:val="0"/>
          <w:numId w:val="8"/>
        </w:numPr>
      </w:pPr>
      <w:r w:rsidRPr="00940540">
        <w:t>How is monetary policy transmitted to the housing market and the wider economy, and through which channels?</w:t>
      </w:r>
    </w:p>
    <w:p w14:paraId="414981B1" w14:textId="0CD8F164" w:rsidR="00BE2B06" w:rsidRPr="00BE2B06" w:rsidRDefault="00940540" w:rsidP="00940540">
      <w:pPr>
        <w:pStyle w:val="BodyText"/>
        <w:numPr>
          <w:ilvl w:val="0"/>
          <w:numId w:val="8"/>
        </w:numPr>
      </w:pPr>
      <w:r w:rsidRPr="00940540">
        <w:t>How does the transmission differ under a dominant fixed‑rate mortgage structure compared to a variable‑rate structure?</w:t>
      </w:r>
    </w:p>
    <w:p w14:paraId="3E5D3E77" w14:textId="4F3A81A4" w:rsidR="00941C53" w:rsidRDefault="00940540" w:rsidP="00940540">
      <w:pPr>
        <w:pStyle w:val="BodyText"/>
        <w:numPr>
          <w:ilvl w:val="0"/>
          <w:numId w:val="8"/>
        </w:numPr>
      </w:pPr>
      <w:r w:rsidRPr="00940540">
        <w:t xml:space="preserve">Does a tighter macroprudential </w:t>
      </w:r>
      <w:r>
        <w:t>policy</w:t>
      </w:r>
      <w:r w:rsidRPr="00940540">
        <w:t>—reflected in a lower loan‑to‑value (LTV) ratio limit—affect the effectiveness of monetary policy, and how does the LTV policy influence the housing market in both the short and long run?</w:t>
      </w:r>
    </w:p>
    <w:bookmarkEnd w:id="1"/>
    <w:p w14:paraId="7E559DB5" w14:textId="4709862E" w:rsidR="008F696E" w:rsidRDefault="008F696E" w:rsidP="00A91E1A">
      <w:pPr>
        <w:pStyle w:val="BodyText"/>
      </w:pPr>
      <w:r w:rsidRPr="008F696E">
        <w:t>To address these questions, we develop a Dynamic Stochastic General Equilibrium (DSGE) model tailored to the distinctive structure of the Israeli economy, providing a suitable framework for policy analysis. By explicitly modeling the relationships among key economic variables, the DSGE approach helps identify causal links and trace how shocks or policy changes propagate through the economy—an essential feature for evaluating monetary and macroprudential policies. The model also enables counterfactual “what‑if” analyses, serving as a laboratory for policy experiments, particularly for macroprudential measures that are rarely implemented and difficult to assess empirically.</w:t>
      </w:r>
    </w:p>
    <w:p w14:paraId="68CF28F5" w14:textId="002881DC" w:rsidR="008D5917" w:rsidRDefault="008D5917" w:rsidP="001F2D73">
      <w:pPr>
        <w:pStyle w:val="BodyText"/>
      </w:pPr>
      <w:r>
        <w:t xml:space="preserve">The Israeli housing market comprises two closely linked submarkets: ownership and rental. Following </w:t>
      </w:r>
      <w:r w:rsidR="001F2D73">
        <w:rPr>
          <w:rFonts w:asciiTheme="majorHAnsi" w:hAnsiTheme="majorHAnsi" w:cs="David"/>
          <w:color w:val="0081AD"/>
          <w:lang w:bidi="he-IL"/>
        </w:rPr>
        <w:fldChar w:fldCharType="begin"/>
      </w:r>
      <w:r w:rsidR="001F2D73">
        <w:rPr>
          <w:rFonts w:asciiTheme="majorHAnsi" w:hAnsiTheme="majorHAnsi" w:cs="David"/>
          <w:color w:val="0081AD"/>
          <w:lang w:bidi="he-IL"/>
        </w:rPr>
        <w:instrText xml:space="preserve"> ADDIN ZOTERO_ITEM CSL_CITATION {"citationID":"njEuEhxI","properties":{"unsorted":false,"formattedCitation":"Sun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1F2D73">
        <w:rPr>
          <w:rFonts w:asciiTheme="majorHAnsi" w:hAnsiTheme="majorHAnsi" w:cs="David"/>
          <w:color w:val="0081AD"/>
          <w:lang w:bidi="he-IL"/>
        </w:rPr>
        <w:fldChar w:fldCharType="separate"/>
      </w:r>
      <w:r w:rsidR="001F2D73" w:rsidRPr="001F2D73">
        <w:rPr>
          <w:rFonts w:asciiTheme="majorHAnsi" w:hAnsiTheme="majorHAnsi" w:cs="David"/>
          <w:color w:val="0081AD"/>
          <w:lang w:bidi="he-IL"/>
        </w:rPr>
        <w:t>Sun and Tsang (2017)</w:t>
      </w:r>
      <w:r w:rsidR="001F2D73">
        <w:rPr>
          <w:rFonts w:asciiTheme="majorHAnsi" w:hAnsiTheme="majorHAnsi" w:cs="David"/>
          <w:color w:val="0081AD"/>
          <w:lang w:bidi="he-IL"/>
        </w:rPr>
        <w:fldChar w:fldCharType="end"/>
      </w:r>
      <w:r>
        <w:t xml:space="preserve">, we assume that households regard owning and renting as imperfect substitutes. Recognizing this distinction as crucial for policy analysis, our study employs a DSGE model that explicitly incorporates both segments. In our model—designed to reflect the Israeli context—the suppliers of rental services are financially unconstrained households (investors). This structure differs markedly from that of </w:t>
      </w:r>
      <w:r w:rsidR="001F2D73">
        <w:rPr>
          <w:rFonts w:asciiTheme="majorHAnsi" w:hAnsiTheme="majorHAnsi" w:cs="David"/>
          <w:color w:val="0081AD"/>
          <w:lang w:bidi="he-IL"/>
        </w:rPr>
        <w:fldChar w:fldCharType="begin"/>
      </w:r>
      <w:r w:rsidR="00CE7925">
        <w:rPr>
          <w:rFonts w:asciiTheme="majorHAnsi" w:hAnsiTheme="majorHAnsi" w:cs="David"/>
          <w:color w:val="0081AD"/>
          <w:lang w:bidi="he-IL"/>
        </w:rPr>
        <w:instrText xml:space="preserve"> ADDIN ZOTERO_ITEM CSL_CITATION {"citationID":"w78atuIk","properties":{"unsorted":false,"formattedCitation":"Sun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1F2D73">
        <w:rPr>
          <w:rFonts w:asciiTheme="majorHAnsi" w:hAnsiTheme="majorHAnsi" w:cs="David"/>
          <w:color w:val="0081AD"/>
          <w:lang w:bidi="he-IL"/>
        </w:rPr>
        <w:fldChar w:fldCharType="separate"/>
      </w:r>
      <w:r w:rsidR="001F2D73" w:rsidRPr="001F2D73">
        <w:rPr>
          <w:rFonts w:asciiTheme="majorHAnsi" w:hAnsiTheme="majorHAnsi" w:cs="David"/>
          <w:color w:val="0081AD"/>
          <w:lang w:bidi="he-IL"/>
        </w:rPr>
        <w:t>Sun and Tsang (2017)</w:t>
      </w:r>
      <w:r w:rsidR="001F2D73">
        <w:rPr>
          <w:rFonts w:asciiTheme="majorHAnsi" w:hAnsiTheme="majorHAnsi" w:cs="David"/>
          <w:color w:val="0081AD"/>
          <w:lang w:bidi="he-IL"/>
        </w:rPr>
        <w:fldChar w:fldCharType="end"/>
      </w:r>
      <w:r>
        <w:t>, whose U.S.-based model assumes that financially constrained firms provide rental housing.</w:t>
      </w:r>
    </w:p>
    <w:p w14:paraId="3343817C" w14:textId="5FD66BCA" w:rsidR="008D5917" w:rsidRDefault="008D5917" w:rsidP="00CE7925">
      <w:pPr>
        <w:pStyle w:val="BodyText"/>
      </w:pPr>
      <w:r>
        <w:t xml:space="preserve">Our framework also distinguishes between two household groups—lenders and borrowers—where borrowers’ credit access is constrained by collateral tied to housing values, consistent with </w:t>
      </w:r>
      <w:r w:rsidR="00CE7925" w:rsidRPr="00CE7925">
        <w:rPr>
          <w:rFonts w:asciiTheme="majorHAnsi" w:hAnsiTheme="majorHAnsi" w:cs="David"/>
          <w:color w:val="0081AD"/>
          <w:lang w:bidi="he-IL"/>
        </w:rPr>
        <w:fldChar w:fldCharType="begin"/>
      </w:r>
      <w:r w:rsidR="00CE7925" w:rsidRPr="00CE7925">
        <w:rPr>
          <w:rFonts w:asciiTheme="majorHAnsi" w:hAnsiTheme="majorHAnsi" w:cs="David"/>
          <w:color w:val="0081AD"/>
          <w:lang w:bidi="he-IL"/>
        </w:rPr>
        <w:instrText xml:space="preserve"> ADDIN ZOTERO_ITEM CSL_CITATION {"citationID":"evSjx35a","properties":{"unsorted":false,"formattedCitation":"Iacoviello (2005)","plainCitation":"Iacoviello (2005)","noteIndex":0},"citationItems":[{"id":2486,"uris":["http://zotero.org/users/6680486/items/DX6MWSIG"],"itemData":{"id":2486,"type":"article-journal","abstract":"I develop and estimate a monetary business cycle model with nominal loans and collateral constraints tied to housing values. Demand shocks move housing and nominal prices in the same direction, and are amplified and propagated over time. The financial accelerator is not uniform: nominal debt dampens supply shocks, stabilizing the economy under interest rate control. Structural estimation supports two key model features: collateral effects dramatically improve the response of aggregate demand to housing price shocks; and nominal debt improves the sluggish response of output to inflation surprises. Finally, policy evaluation considers the role of house prices and debt indexation in affecting monetary policy trade-offs.","citation-key":"Iacoviello_2005","container-title":"American Economic Review","DOI":"10.1257/0002828054201477","ISSN":"0002-8282","issue":"3","journalAbbreviation":"American Economic Review","language":"en","page":"739-764","source":"DOI.org (Crossref)","title":"House Prices, Borrowing Constraints, and Monetary Policy in the Business Cycle","volume":"95","author":[{"family":"Iacoviello","given":"Matteo"}],"issued":{"date-parts":[["2005",5,1]]}}}],"schema":"https://github.com/citation-style-language/schema/raw/master/csl-citation.json"} </w:instrText>
      </w:r>
      <w:r w:rsidR="00CE7925" w:rsidRPr="00CE7925">
        <w:rPr>
          <w:rFonts w:asciiTheme="majorHAnsi" w:hAnsiTheme="majorHAnsi" w:cs="David"/>
          <w:color w:val="0081AD"/>
          <w:lang w:bidi="he-IL"/>
        </w:rPr>
        <w:fldChar w:fldCharType="separate"/>
      </w:r>
      <w:r w:rsidR="00CE7925" w:rsidRPr="00CE7925">
        <w:rPr>
          <w:rFonts w:ascii="Utopia" w:hAnsi="Utopia"/>
          <w:color w:val="0081AD"/>
        </w:rPr>
        <w:t>Iacoviello (2005)</w:t>
      </w:r>
      <w:r w:rsidR="00CE7925" w:rsidRPr="00CE7925">
        <w:rPr>
          <w:rFonts w:asciiTheme="majorHAnsi" w:hAnsiTheme="majorHAnsi" w:cs="David"/>
          <w:color w:val="0081AD"/>
          <w:lang w:bidi="he-IL"/>
        </w:rPr>
        <w:fldChar w:fldCharType="end"/>
      </w:r>
      <w:r w:rsidR="00CE7925">
        <w:t xml:space="preserve"> </w:t>
      </w:r>
      <w:r>
        <w:t>and</w:t>
      </w:r>
      <w:r w:rsidR="00CE7925">
        <w:t xml:space="preserve"> </w:t>
      </w:r>
      <w:r w:rsidR="00CE7925" w:rsidRPr="00CE7925">
        <w:rPr>
          <w:color w:val="0081AD"/>
        </w:rPr>
        <w:fldChar w:fldCharType="begin"/>
      </w:r>
      <w:r w:rsidR="00CE7925" w:rsidRPr="00CE7925">
        <w:rPr>
          <w:color w:val="0081AD"/>
        </w:rPr>
        <w:instrText xml:space="preserve"> ADDIN ZOTERO_ITEM CSL_CITATION {"citationID":"jyfHK60F","properties":{"unsorted":false,"formattedCitation":"Aoki et al. (2004)","plainCitation":"Aoki et al. (2004)","noteIndex":0},"citationItems":[{"id":518,"uris":["http://zotero.org/users/6680486/items/2R8Z2D62"],"itemData":{"id":518,"type":"article-journal","abstract":"We consider a general equilibrium model with frictions in credit markets used by households. In our economy, houses provide housing services to consumers and serve as collateral to lower borrowing cost. We show that this ampliﬁes and propagates the effect of monetary policy shocks on housing investment, house prices and consumption. We also consider the effect of a structural change in credit markets that lowers the transaction costs of additional borrowing against housing equity. We show that such a change would increase the effect of monetary policy shocks on consumption, but would decrease the effect on house prices and housing investment.","citation-key":"aokiHousePricesConsumption2004","container-title":"Journal of Financial Intermediation","language":"en","page":"22","source":"Zotero","title":"House Prices, Consumption, and Monetary Policy: a Financial Accelerator Approach","author":[{"family":"Aoki","given":"Kosuke"},{"family":"Proudman","given":"James"},{"family":"Vlieghe","given":"Gertjan"}],"issued":{"date-parts":[["2004"]]}}}],"schema":"https://github.com/citation-style-language/schema/raw/master/csl-citation.json"} </w:instrText>
      </w:r>
      <w:r w:rsidR="00CE7925" w:rsidRPr="00CE7925">
        <w:rPr>
          <w:color w:val="0081AD"/>
        </w:rPr>
        <w:fldChar w:fldCharType="separate"/>
      </w:r>
      <w:r w:rsidR="00CE7925" w:rsidRPr="00CE7925">
        <w:rPr>
          <w:rFonts w:ascii="Utopia" w:hAnsi="Utopia"/>
          <w:color w:val="0081AD"/>
        </w:rPr>
        <w:t>Aoki et al. (2004)</w:t>
      </w:r>
      <w:r w:rsidR="00CE7925" w:rsidRPr="00CE7925">
        <w:rPr>
          <w:color w:val="0081AD"/>
        </w:rPr>
        <w:fldChar w:fldCharType="end"/>
      </w:r>
      <w:r>
        <w:t>. Finally, the model incorporates long-term debt following</w:t>
      </w:r>
      <w:r w:rsidR="00CE7925">
        <w:t xml:space="preserve"> </w:t>
      </w:r>
      <w:r w:rsidR="00CE7925" w:rsidRPr="00CE7925">
        <w:rPr>
          <w:color w:val="0081AD"/>
        </w:rPr>
        <w:fldChar w:fldCharType="begin"/>
      </w:r>
      <w:r w:rsidR="00CE7925" w:rsidRPr="00CE7925">
        <w:rPr>
          <w:color w:val="0081AD"/>
        </w:rPr>
        <w:instrText xml:space="preserve"> ADDIN ZOTERO_ITEM CSL_CITATION {"citationID":"YahOOMMq","properties":{"unsorted":false,"formattedCitation":"Alpanda and Zubairy (2017)","plainCitation":"Alpanda and Zubairy (2017)","noteIndex":0},"citationItems":[{"id":1669,"uris":["http://zotero.org/users/6680486/items/TMZEX3Q5"],"itemData":{"id":1669,"type":"article-journal","abstract":"In this paper, we build a dynamic stochastic general-equilibrium model with housing and household debt, and compare the e</w:instrText>
      </w:r>
      <w:r w:rsidR="00CE7925" w:rsidRPr="00CE7925">
        <w:rPr>
          <w:rFonts w:ascii="Arial" w:hAnsi="Arial" w:cs="Arial"/>
          <w:color w:val="0081AD"/>
        </w:rPr>
        <w:instrText>ﬀ</w:instrText>
      </w:r>
      <w:r w:rsidR="00CE7925" w:rsidRPr="00CE7925">
        <w:rPr>
          <w:color w:val="0081AD"/>
        </w:rPr>
        <w:instrText xml:space="preserve">ectiveness of monetary policy, housing-related </w:instrText>
      </w:r>
      <w:r w:rsidR="00CE7925" w:rsidRPr="00CE7925">
        <w:rPr>
          <w:rFonts w:ascii="Utopia" w:hAnsi="Utopia" w:cs="Utopia"/>
          <w:color w:val="0081AD"/>
        </w:rPr>
        <w:instrText>ﬁ</w:instrText>
      </w:r>
      <w:r w:rsidR="00CE7925" w:rsidRPr="00CE7925">
        <w:rPr>
          <w:color w:val="0081AD"/>
        </w:rPr>
        <w:instrText>scal policy, and macroprudential regulations in reducing household indebtedness. Excessive household debt arises due to exuberance shocks on house price expectations, which drive a wedge between the actual and the underlying fundamental value of houses. The estimated model also features longterm ﬁxed-rate borrowing and lending across two types of households, and di</w:instrText>
      </w:r>
      <w:r w:rsidR="00CE7925" w:rsidRPr="00CE7925">
        <w:rPr>
          <w:rFonts w:ascii="Arial" w:hAnsi="Arial" w:cs="Arial"/>
          <w:color w:val="0081AD"/>
        </w:rPr>
        <w:instrText>ﬀ</w:instrText>
      </w:r>
      <w:r w:rsidR="00CE7925" w:rsidRPr="00CE7925">
        <w:rPr>
          <w:color w:val="0081AD"/>
        </w:rPr>
        <w:instrText xml:space="preserve">erentiates between the </w:instrText>
      </w:r>
      <w:r w:rsidR="00CE7925" w:rsidRPr="00CE7925">
        <w:rPr>
          <w:rFonts w:ascii="Utopia" w:hAnsi="Utopia" w:cs="Utopia"/>
          <w:color w:val="0081AD"/>
        </w:rPr>
        <w:instrText>ﬂ</w:instrText>
      </w:r>
      <w:r w:rsidR="00CE7925" w:rsidRPr="00CE7925">
        <w:rPr>
          <w:color w:val="0081AD"/>
        </w:rPr>
        <w:instrText xml:space="preserve">ow and the stock of household debt. Our main </w:instrText>
      </w:r>
      <w:r w:rsidR="00CE7925" w:rsidRPr="00CE7925">
        <w:rPr>
          <w:rFonts w:ascii="Utopia" w:hAnsi="Utopia" w:cs="Utopia"/>
          <w:color w:val="0081AD"/>
        </w:rPr>
        <w:instrText>ﬁ</w:instrText>
      </w:r>
      <w:r w:rsidR="00CE7925" w:rsidRPr="00CE7925">
        <w:rPr>
          <w:color w:val="0081AD"/>
        </w:rPr>
        <w:instrText>ndings can be summarized as follows: (i) Monetary tightening is able to reduce the stock of real mortgage debt, but leads to an increase in the household debt-to-income ratio. (ii) Among the policy tools we consider, tightening in mortgage interest deduction and regulatory loan-to-value (LTV) are the most e</w:instrText>
      </w:r>
      <w:r w:rsidR="00CE7925" w:rsidRPr="00CE7925">
        <w:rPr>
          <w:rFonts w:ascii="Arial" w:hAnsi="Arial" w:cs="Arial"/>
          <w:color w:val="0081AD"/>
        </w:rPr>
        <w:instrText>ﬀ</w:instrText>
      </w:r>
      <w:r w:rsidR="00CE7925" w:rsidRPr="00CE7925">
        <w:rPr>
          <w:color w:val="0081AD"/>
        </w:rPr>
        <w:instrText>ective and least costly in reducing household debt, followed by increasing property taxes and monetary tightening. (iii) Although mortgage interest deduction is a broader tool than regulatory LTV, and therefore potentially more costly in terms of output loss, it is e</w:instrText>
      </w:r>
      <w:r w:rsidR="00CE7925" w:rsidRPr="00CE7925">
        <w:rPr>
          <w:rFonts w:ascii="Arial" w:hAnsi="Arial" w:cs="Arial"/>
          <w:color w:val="0081AD"/>
        </w:rPr>
        <w:instrText>ﬀ</w:instrText>
      </w:r>
      <w:r w:rsidR="00CE7925" w:rsidRPr="00CE7925">
        <w:rPr>
          <w:color w:val="0081AD"/>
        </w:rPr>
        <w:instrText xml:space="preserve">ective in reducing overall mortgage debt, since its direct reach also extends to home equity loans. (iv) Lowering regulatory LTV and mortgage interest deductions from their current levels would be welfare improving, while we ﬁnd weak support for systematic leaning against household imbalances through monetary policy.","citation-key":"alpandaAddressingHouseholdIndebtedness2017","container-title":"European Economic Review","DOI":"10.1016/j.euroecorev.2016.11.004","ISSN":"00142921","journalAbbreviation":"European Economic Review","language":"en","page":"47-73","source":"DOI.org (Crossref)","title":"Addressing Household Indebtedness: Monetary, Fiscal or Macroprudential Policy?","title-short":"Addressing household indebtedness","volume":"92","author":[{"family":"Alpanda","given":"Sami"},{"family":"Zubairy","given":"Sarah"}],"issued":{"date-parts":[["2017",2]]}}}],"schema":"https://github.com/citation-style-language/schema/raw/master/csl-citation.json"} </w:instrText>
      </w:r>
      <w:r w:rsidR="00CE7925" w:rsidRPr="00CE7925">
        <w:rPr>
          <w:color w:val="0081AD"/>
        </w:rPr>
        <w:fldChar w:fldCharType="separate"/>
      </w:r>
      <w:r w:rsidR="00CE7925" w:rsidRPr="00CE7925">
        <w:rPr>
          <w:rFonts w:ascii="Utopia" w:hAnsi="Utopia"/>
          <w:color w:val="0081AD"/>
        </w:rPr>
        <w:t>Alpanda and Zubairy (2017)</w:t>
      </w:r>
      <w:r w:rsidR="00CE7925" w:rsidRPr="00CE7925">
        <w:rPr>
          <w:color w:val="0081AD"/>
        </w:rPr>
        <w:fldChar w:fldCharType="end"/>
      </w:r>
      <w:r>
        <w:t>, with a modification to their specification of new long-term debt supply to include both fixed- and variable-rate borrowing.</w:t>
      </w:r>
    </w:p>
    <w:p w14:paraId="1673CB63" w14:textId="03189E49" w:rsidR="0026183E" w:rsidRDefault="0026183E" w:rsidP="00CE7925">
      <w:pPr>
        <w:pStyle w:val="BodyText"/>
      </w:pPr>
      <w:r w:rsidRPr="007B47A2">
        <w:lastRenderedPageBreak/>
        <w:t xml:space="preserve">Monetary and macroprudential policies differ in both purpose and frequency. Monetary policy, designed to manage business cycle fluctuations, is adjusted frequently—often monthly—and influences the entire economy, including the rental and ownership housing markets. Macroprudential policy, on the other hand, aims to address financial cycles and maintain long-term stability, and is typically </w:t>
      </w:r>
      <w:r>
        <w:t>implemented</w:t>
      </w:r>
      <w:r w:rsidRPr="007B47A2">
        <w:t xml:space="preserve"> </w:t>
      </w:r>
      <w:r w:rsidRPr="00277374">
        <w:t>infrequently—</w:t>
      </w:r>
      <w:r>
        <w:t>often</w:t>
      </w:r>
      <w:r w:rsidRPr="007B47A2">
        <w:t xml:space="preserve"> only once every few years.</w:t>
      </w:r>
      <w:r>
        <w:t xml:space="preserve">  </w:t>
      </w:r>
      <w:r w:rsidR="00CE7925" w:rsidRPr="00CE7925">
        <w:rPr>
          <w:color w:val="0081AD"/>
        </w:rPr>
        <w:fldChar w:fldCharType="begin"/>
      </w:r>
      <w:r w:rsidR="00CE7925" w:rsidRPr="00CE7925">
        <w:rPr>
          <w:color w:val="0081AD"/>
        </w:rPr>
        <w:instrText xml:space="preserve"> ADDIN ZOTERO_ITEM CSL_CITATION {"citationID":"1kqYJO3y","properties":{"unsorted":false,"formattedCitation":"Drehmann et al. (2012)","plainCitation":"Drehmann et al. (2012)","noteIndex":0},"citationItems":[{"id":1621,"uris":["http://zotero.org/users/6680486/items/JZRYJNCK"],"itemData":{"id":1621,"type":"article","abstract":"We characterize empirically the financial cycle using two approaches: analysis of turning points and frequency-based filters. We identify the financial cycle with the medium-term component in the joint fluctuations of credit and property prices; equity prices do not fit this picture well. We show that financial cycle peaks are very closely associated with financial crises and that the length and amplitude of the financial cycle have increased markedly since the mid-1980s. We argue that this reflects, in particular, financial liberalization and changes in monetary policy frameworks. So defined, the financial cycle is much longer than the traditional business cycle. Business cycle recessions are much deeper when they coincide with the contraction phase of the financial cycle. We also draw attention to the \"unfinished recession\" phenomenon: policy responses that fail to take into account the length of the financial cycle may help contain recessions in the short run but at the expense of larger recessions down the road.","citation-key":"drehmannCharacterisingFinancialCycle2012","collection-number":"380","collection-title":"BIS Working Papers","language":"en","number":"2084835","publisher-place":"Bank for International Settlements","source":"Social Science Research Network","title":"Characterising the Financial Cycle: Don't Lose Sight of the Medium Term!","title-short":"Characterising the Financial Cycle","URL":"https://www.bis.org/publ/work380.htm","author":[{"family":"Drehmann","given":"Mathias"},{"family":"Borio","given":"Claudio E. V."},{"family":"Tsatsaronis","given":"Kostas"}],"accessed":{"date-parts":[["2024",5,19]]},"issued":{"date-parts":[["2012",6,1]]}}}],"schema":"https://github.com/citation-style-language/schema/raw/master/csl-citation.json"} </w:instrText>
      </w:r>
      <w:r w:rsidR="00CE7925" w:rsidRPr="00CE7925">
        <w:rPr>
          <w:color w:val="0081AD"/>
        </w:rPr>
        <w:fldChar w:fldCharType="separate"/>
      </w:r>
      <w:r w:rsidR="00CE7925" w:rsidRPr="00CE7925">
        <w:rPr>
          <w:rFonts w:ascii="Utopia" w:hAnsi="Utopia"/>
          <w:color w:val="0081AD"/>
        </w:rPr>
        <w:t>Drehmann et al. (2012)</w:t>
      </w:r>
      <w:r w:rsidR="00CE7925" w:rsidRPr="00CE7925">
        <w:rPr>
          <w:color w:val="0081AD"/>
        </w:rPr>
        <w:fldChar w:fldCharType="end"/>
      </w:r>
      <w:r w:rsidR="00CE7925">
        <w:t xml:space="preserve"> </w:t>
      </w:r>
      <w:r w:rsidRPr="009D78D9">
        <w:t>show that financial cycles are considerably longer than business cycles, lasting roughly 8–20 years compared with 2–8 years, respectively. Macroprudential tools, such as LTV ratio limits, are typically targeted measures that directly affect credit volumes.</w:t>
      </w:r>
    </w:p>
    <w:p w14:paraId="2BA6553E" w14:textId="417EDA1B" w:rsidR="00476C33" w:rsidRDefault="00476C33" w:rsidP="00551803">
      <w:pPr>
        <w:pStyle w:val="BodyText"/>
      </w:pPr>
      <w:r w:rsidRPr="00476C33">
        <w:t xml:space="preserve">We analyze the effects of monetary and macroprudential policies on the housing market. In addition, we examine the interaction between these two policy frameworks, investigating whether a tighter macroprudential </w:t>
      </w:r>
      <w:r w:rsidR="00551803">
        <w:t>policy</w:t>
      </w:r>
      <w:r w:rsidRPr="00476C33">
        <w:t xml:space="preserve"> affects the effectiveness of monetary policy.</w:t>
      </w:r>
    </w:p>
    <w:p w14:paraId="05902D88" w14:textId="6BDAC1E1" w:rsidR="00717E4C" w:rsidRDefault="00717E4C" w:rsidP="00717E4C">
      <w:pPr>
        <w:pStyle w:val="BodyText"/>
      </w:pPr>
      <w:r w:rsidRPr="00717E4C">
        <w:t>The results indicate that a contractionary monetary policy leads to declines in output, inflation, household debt, and housing prices, accompanied by an increase in real rental prices. Consistent with previous studies, adjustments in the loan‑to‑value (LTV) ratio through macroprudential policy do not impair the ability of monetary policy to achieve its stabilization objectives. However, these measures induce distributional effects reflecting household heterogeneity. Similar results are obtained when comparing time‑varying‑rate mortgages with fixed‑rate contracts.</w:t>
      </w:r>
    </w:p>
    <w:p w14:paraId="1170232E" w14:textId="6BE26FE3" w:rsidR="00F65ECF" w:rsidRDefault="00F65ECF" w:rsidP="00F52A44">
      <w:pPr>
        <w:pStyle w:val="BodyText"/>
      </w:pPr>
      <w:r w:rsidRPr="00F65ECF">
        <w:t xml:space="preserve">We </w:t>
      </w:r>
      <w:r w:rsidR="00ED7829">
        <w:t xml:space="preserve">also </w:t>
      </w:r>
      <w:r w:rsidRPr="00F65ECF">
        <w:t xml:space="preserve">find that a stricter LTV policy significantly reduces household debt and homeownership among borrowers, while its impact on housing prices remains limited. This finding contrasts with previous DSGE model studies, which typically suggest that a lower LTV ratio leads to a substantial decline in housing prices. </w:t>
      </w:r>
      <w:r w:rsidR="00F52A44" w:rsidRPr="00F52A44">
        <w:t>We argue that this discrepancy stems, among other factors, from the absence of a rental market in earlier models—an element incorporated in ours—and from specific characteristics of the housing market in Israel.</w:t>
      </w:r>
    </w:p>
    <w:p w14:paraId="77B6985D" w14:textId="77777777" w:rsidR="00717A4C" w:rsidRPr="008E2B36" w:rsidRDefault="001A66DC" w:rsidP="00BB5223">
      <w:pPr>
        <w:pStyle w:val="BodyText"/>
      </w:pPr>
      <w:r w:rsidRPr="008E2B36">
        <w:t xml:space="preserve">The structure of the paper is as follows: Section 2 provides a brief literature review, Section 3 presents important stylized facts of the Israeli housing market, Section 4 describes the model, Section 5 details the model calibration, Section 6 analyzes monetary and macroprudential policies, and Section 7 </w:t>
      </w:r>
      <w:r w:rsidR="005D1943">
        <w:t>concludes</w:t>
      </w:r>
      <w:r w:rsidRPr="008E2B36">
        <w:t>.</w:t>
      </w:r>
    </w:p>
    <w:p w14:paraId="33002537" w14:textId="6B329F90" w:rsidR="00A3286C" w:rsidRDefault="00732C54" w:rsidP="00CB2799">
      <w:pPr>
        <w:pStyle w:val="Heading1"/>
        <w:spacing w:line="360" w:lineRule="auto"/>
      </w:pPr>
      <w:r>
        <w:t xml:space="preserve">Housing Market: </w:t>
      </w:r>
      <w:r w:rsidR="001A66DC" w:rsidRPr="00F73527">
        <w:t>Literature</w:t>
      </w:r>
      <w:r>
        <w:t xml:space="preserve"> and Policy in Israel</w:t>
      </w:r>
    </w:p>
    <w:p w14:paraId="48544891" w14:textId="5119D067" w:rsidR="00B76D90" w:rsidRDefault="00CB2799" w:rsidP="00CE222B">
      <w:pPr>
        <w:pStyle w:val="BodyText"/>
      </w:pPr>
      <w:r w:rsidRPr="00CB2799">
        <w:t>One of the fundamental and most intriguing questions is how monetary policy influences the housing market</w:t>
      </w:r>
      <w:r w:rsidR="007F03E5">
        <w:t xml:space="preserve"> in Israel</w:t>
      </w:r>
      <w:r w:rsidRPr="00CB2799">
        <w:t>.</w:t>
      </w:r>
      <w:r w:rsidR="00CE222B">
        <w:t xml:space="preserve"> </w:t>
      </w:r>
      <w:r w:rsidR="001A66DC" w:rsidRPr="008E2B36">
        <w:t>Some empirically oriented studies</w:t>
      </w:r>
      <w:r w:rsidR="000A1223">
        <w:t xml:space="preserve"> have</w:t>
      </w:r>
      <w:r w:rsidR="001A66DC" w:rsidRPr="008E2B36">
        <w:t xml:space="preserve"> investigated th</w:t>
      </w:r>
      <w:r w:rsidR="00CE222B">
        <w:t>is.</w:t>
      </w:r>
      <w:r w:rsidR="001A66DC" w:rsidRPr="00CB3F17">
        <w:t xml:space="preserve"> </w:t>
      </w:r>
      <w:r w:rsidR="00CE222B" w:rsidRPr="00CE222B">
        <w:rPr>
          <w:color w:val="0081AD"/>
        </w:rPr>
        <w:fldChar w:fldCharType="begin"/>
      </w:r>
      <w:r w:rsidR="00CE222B" w:rsidRPr="00CE222B">
        <w:rPr>
          <w:color w:val="0081AD"/>
        </w:rPr>
        <w:instrText xml:space="preserve"> ADDIN ZOTERO_ITEM CSL_CITATION {"citationID":"0CvPAcc6","properties":{"unsorted":false,"formattedCitation":"Yakhin and Gamrasni (2021)","plainCitation":"Yakhin and Gamrasni (2021)","noteIndex":0},"citationItems":[{"id":1671,"uris":["http://zotero.org/users/6680486/items/IEPPGCAZ"],"itemData":{"id":1671,"type":"article","abstract":"The housing market is characterized by persistent deviations from the long-run equilibrium, and these deviations affect market dynamics in the short run. Therefore, any empirical analysis of the housing market must identify these long-run relations. This paper estimates an econometric model for the housing market in Israel for the years 1980–2019, where the longrun relations are estimated based on the theoretical model of DiPasquale and Wheaton (1992). We utilize the model to learn about the characteristics of the Israeli housing market and about the factors driving home prices, rents, and construction activity during the sample period. The model sheds light on the interaction between home prices and rents: A rise in rents pushes prices higher as it increases the return from home ownership. In contrast, an increase in home prices reduces rents because it stimulates housing supply. We also find that both demand and supply are inelastic in the long run; as a result, external shocks to the market are mainly manifested as changes in prices rather than quantities. As for the factors behind the surge in home prices that started in 2008, the estimation of the model suggests that about half of the rise in prices during 2008–11 was driven by undervaluation of homes in the preceding period. Monetary policy also supported prices during that period, though our estimates suggest that it played a minor role. Supply-side shortage had a moderate but persistent effect on house prices, and starting in 2012 supply shortage alongside rising household income are the main factors supporting prices. The acceleration in construction activity in recent years closed much of the supply shortage toward the end of the sample period.","citation-key":"yakhinHousingMarketIsrael2021","collection-number":"2021.08","collection-title":"Discussion Paper Series","language":"en","publisher-place":"Bank of Israel Research Department","source":"Zotero","title":"The Housing Market in Israel: Long-Run Equilibrium and Short-Run Dynamics","URL":"https://boiwebrepec.azurefd.net/RePEc/boi/wpaper/WP_2021.08.pdf","author":[{"family":"Yakhin","given":"Yossi"},{"family":"Gamrasni","given":"Inon"}],"issued":{"date-parts":[["2021",5]]}}}],"schema":"https://github.com/citation-style-language/schema/raw/master/csl-citation.json"} </w:instrText>
      </w:r>
      <w:r w:rsidR="00CE222B" w:rsidRPr="00CE222B">
        <w:rPr>
          <w:color w:val="0081AD"/>
        </w:rPr>
        <w:fldChar w:fldCharType="separate"/>
      </w:r>
      <w:r w:rsidR="00CE222B" w:rsidRPr="00CE222B">
        <w:rPr>
          <w:rFonts w:ascii="Utopia" w:hAnsi="Utopia"/>
          <w:color w:val="0081AD"/>
        </w:rPr>
        <w:t>Yakhin and Gamrasni (2021)</w:t>
      </w:r>
      <w:r w:rsidR="00CE222B" w:rsidRPr="00CE222B">
        <w:rPr>
          <w:color w:val="0081AD"/>
        </w:rPr>
        <w:fldChar w:fldCharType="end"/>
      </w:r>
      <w:r w:rsidR="00CE222B">
        <w:t xml:space="preserve"> </w:t>
      </w:r>
      <w:r w:rsidR="00B76D90" w:rsidRPr="00B76D90">
        <w:t xml:space="preserve">and </w:t>
      </w:r>
      <w:r w:rsidR="00CE222B" w:rsidRPr="00CE222B">
        <w:rPr>
          <w:color w:val="0081AD"/>
        </w:rPr>
        <w:fldChar w:fldCharType="begin"/>
      </w:r>
      <w:r w:rsidR="00CE222B" w:rsidRPr="00CE222B">
        <w:rPr>
          <w:color w:val="0081AD"/>
        </w:rPr>
        <w:instrText xml:space="preserve"> ADDIN ZOTERO_ITEM CSL_CITATION {"citationID":"x98jlv5L","properties":{"unsorted":false,"formattedCitation":"Nagar and Segal (2014)","plainCitation":"Nagar and Segal (2014)","noteIndex":0},"citationItems":[{"id":3769,"uris":["http://zotero.org/users/6680486/items/6FDYBIZ5"],"itemData":{"id":3769,"type":"article-journal","abstract":"In light of the steep increase of home prices and rents in Israel in 2009-2010, we identified and quantified the macroeconomic variables that influenced these prices between 1999 and 2010. Estimating an error-correction model and a difference equation model, we found that the monetary interest rate cut in response to the global economic crisis was the main reason for the steep increase in home prices in 2009-2010. An additional factor, although to a lesser degree, was the shortage in dwellings. An interest rate cut of one percentage point led to a 6.5 percent increase in home prices over approximately two years. Monetary policy also had a significant impact on home prices during the years 2004-2007, before the current economic crisis. Hence, monetary policy affects home price movement, and this movement may also be an indicator for the extent to which monetary policy is expansionary or restrictive with respect to financial stability. Consequently, monetary policy decision makers should consider its effect on home prices. The models generate a forecast for six quarters, and thus support the decision making process at the Bank of Israel on a regular basis.","citation-key":"nagarWhatExplainsDevelopments2014","container-title":"Israel Economic Review","issue":"1","language":"en","page":"115-161","source":"Social Science Research Network","title":"What Explains the Developments in Home Prices and Rents in Israel between 1999 and 2010?","volume":"12","author":[{"family":"Nagar","given":"Weitzman"},{"family":"Segal","given":"Guy"}],"issued":{"date-parts":[["2014",11,1]]}}}],"schema":"https://github.com/citation-style-language/schema/raw/master/csl-citation.json"} </w:instrText>
      </w:r>
      <w:r w:rsidR="00CE222B" w:rsidRPr="00CE222B">
        <w:rPr>
          <w:color w:val="0081AD"/>
        </w:rPr>
        <w:fldChar w:fldCharType="separate"/>
      </w:r>
      <w:r w:rsidR="00CE222B" w:rsidRPr="00CE222B">
        <w:rPr>
          <w:rFonts w:ascii="Utopia" w:hAnsi="Utopia"/>
          <w:color w:val="0081AD"/>
        </w:rPr>
        <w:t xml:space="preserve">Nagar and </w:t>
      </w:r>
      <w:r w:rsidR="00CE222B" w:rsidRPr="00CE222B">
        <w:rPr>
          <w:rFonts w:ascii="Utopia" w:hAnsi="Utopia"/>
          <w:color w:val="0081AD"/>
        </w:rPr>
        <w:lastRenderedPageBreak/>
        <w:t>Segal (2014)</w:t>
      </w:r>
      <w:r w:rsidR="00CE222B" w:rsidRPr="00CE222B">
        <w:rPr>
          <w:color w:val="0081AD"/>
        </w:rPr>
        <w:fldChar w:fldCharType="end"/>
      </w:r>
      <w:r w:rsidR="00CE222B">
        <w:t xml:space="preserve"> </w:t>
      </w:r>
      <w:r w:rsidR="00B76D90" w:rsidRPr="00B76D90">
        <w:t>estimated a long-run equilibrium relationship between home prices, rents, interest rates, and other variables, and modeled short-run dynamics using a Vector Error Correction Model. Both found that in the short run, higher monetary interest rates lower home prices but raise rents, reflecting an ownership–rent substitution effect.</w:t>
      </w:r>
    </w:p>
    <w:p w14:paraId="7557D938" w14:textId="665CD881" w:rsidR="00673D6C" w:rsidRDefault="00084247" w:rsidP="00763080">
      <w:pPr>
        <w:pStyle w:val="BodyText"/>
      </w:pPr>
      <w:bookmarkStart w:id="2" w:name="OLE_LINK29"/>
      <w:r w:rsidRPr="00084247">
        <w:t>Another important question is how macroprudential policy affects the housing market, particularly housing prices.</w:t>
      </w:r>
      <w:r w:rsidR="00CE222B">
        <w:t xml:space="preserve"> </w:t>
      </w:r>
      <w:r w:rsidR="001A66DC" w:rsidRPr="008E2B36">
        <w:t>Several studies have examined the impact of macroprudential policy in Israel.</w:t>
      </w:r>
      <w:r w:rsidR="001A66DC">
        <w:t xml:space="preserve"> </w:t>
      </w:r>
      <w:r w:rsidR="00CE222B" w:rsidRPr="00CE222B">
        <w:rPr>
          <w:color w:val="0081AD"/>
        </w:rPr>
        <w:fldChar w:fldCharType="begin"/>
      </w:r>
      <w:r w:rsidR="00CE222B" w:rsidRPr="00CE222B">
        <w:rPr>
          <w:color w:val="0081AD"/>
        </w:rPr>
        <w:instrText xml:space="preserve"> ADDIN ZOTERO_ITEM CSL_CITATION {"citationID":"RPoCBhAk","properties":{"unsorted":false,"formattedCitation":"Benchimol et al. (2022)","plainCitation":"Benchimol et al. (2022)","noteIndex":0},"citationItems":[{"id":1843,"uris":["http://zotero.org/users/6680486/items/CVLI9KMY"],"itemData":{"id":1843,"type":"article-journal","abstract":"The global ﬁnancial crisis (GFC) triggered the use of macroprudential policies imposed on the banking sector. Using bank-level panel data for Israel for the period 2004–2019, we ﬁnd that domestic macroprudential measures changed the composition of bank credit growth but did not affect the total credit growth rate. Speciﬁcally, we show that macroprudential measures targeted at the housing sector moderated housing credit growth but tended to increase business credit growth. We also ﬁnd that accommodative monetary policy surprises tended to increase bank credit growth before the GFC. We show that accommodative monetary policy surprises increased consumer credit when interacting with macroprudential policies targeting the housing market. Accommodative monetary policy interacted with nonhousing macroprudential measures to increase total credit.","citation-key":"benchimolInteractionDomesticMonetary2022","container-title":"Economic Modelling","DOI":"10.1016/j.econmod.2022.105872","ISSN":"02649993","journalAbbreviation":"Economic Modelling","language":"en","page":"105872","source":"DOI.org (Crossref)","title":"The interaction between domestic monetary policy and macroprudential policy in Israel","volume":"112","author":[{"family":"Benchimol","given":"Jonathan"},{"family":"Gamrasni","given":"Inon"},{"family":"Kahn","given":"Michael"},{"family":"Ribon","given":"Sigal"},{"family":"Saadon","given":"Yossi"},{"family":"Ben-Ze’ev","given":"Noam"},{"family":"Segal","given":"Asaf"},{"family":"Shizgal","given":"Yitzchak"}],"issued":{"date-parts":[["2022",7]]}}}],"schema":"https://github.com/citation-style-language/schema/raw/master/csl-citation.json"} </w:instrText>
      </w:r>
      <w:r w:rsidR="00CE222B" w:rsidRPr="00CE222B">
        <w:rPr>
          <w:color w:val="0081AD"/>
        </w:rPr>
        <w:fldChar w:fldCharType="separate"/>
      </w:r>
      <w:r w:rsidR="00CE222B" w:rsidRPr="00CE222B">
        <w:rPr>
          <w:rFonts w:ascii="Utopia" w:hAnsi="Utopia"/>
          <w:color w:val="0081AD"/>
        </w:rPr>
        <w:t>Benchimol et al. (2022)</w:t>
      </w:r>
      <w:r w:rsidR="00CE222B" w:rsidRPr="00CE222B">
        <w:rPr>
          <w:color w:val="0081AD"/>
        </w:rPr>
        <w:fldChar w:fldCharType="end"/>
      </w:r>
      <w:r w:rsidR="00CE222B">
        <w:t xml:space="preserve"> </w:t>
      </w:r>
      <w:r w:rsidR="0066351F" w:rsidRPr="008E2B36">
        <w:t xml:space="preserve">investigated the effects of domestic macroprudential policy measures on bank credit in Israel, using individual bank panel data. They found that macroprudential policy measures significantly reduce credit growth, particularly in mortgages, </w:t>
      </w:r>
      <w:r w:rsidR="001A66DC" w:rsidRPr="008E2B36">
        <w:t>and</w:t>
      </w:r>
      <w:r w:rsidR="0066351F" w:rsidRPr="008E2B36">
        <w:t xml:space="preserve"> influence the transmission of monetary policy to banking credit. </w:t>
      </w:r>
      <w:r w:rsidR="001A66DC">
        <w:t>However, t</w:t>
      </w:r>
      <w:r w:rsidR="0066351F" w:rsidRPr="008E2B36">
        <w:t xml:space="preserve">he impact on </w:t>
      </w:r>
      <w:r w:rsidR="000A1223">
        <w:t>home</w:t>
      </w:r>
      <w:r w:rsidR="000A1223" w:rsidRPr="008E2B36">
        <w:t xml:space="preserve"> </w:t>
      </w:r>
      <w:r w:rsidR="0066351F" w:rsidRPr="008E2B36">
        <w:t>prices was not analyzed.</w:t>
      </w:r>
      <w:r w:rsidR="001A66DC">
        <w:t xml:space="preserve"> </w:t>
      </w:r>
      <w:r w:rsidR="00763080" w:rsidRPr="00763080">
        <w:rPr>
          <w:color w:val="0081AD"/>
        </w:rPr>
        <w:fldChar w:fldCharType="begin"/>
      </w:r>
      <w:r w:rsidR="00763080" w:rsidRPr="00763080">
        <w:rPr>
          <w:color w:val="0081AD"/>
        </w:rPr>
        <w:instrText xml:space="preserve"> ADDIN ZOTERO_ITEM CSL_CITATION {"citationID":"tsM8LsSC","properties":{"unsorted":false,"formattedCitation":"Ribon (2023)","plainCitation":"Ribon (2023)","noteIndex":0},"citationItems":[{"id":1670,"uris":["http://zotero.org/users/6680486/items/CVSSL9PD"],"itemData":{"id":1670,"type":"article","abstract":"We examine the interaction between housing-market macroprudential (MaP) measures, monetary policy, and housing market dynamics in Israel. Using a structural VAR, we show that monetary policy and MaP policy react to positive shocks to house prices and to the volume of transactions in the housing market, acting as complementary policies, but do not react to changes in the levels of mortgage debt. We find that MaP measures are tigghtened in response to negative (accomodative) monetary policy shocks, offsetting their effect, while monetary policy only weakly reacts to shocks to MaP measures. Similar to the findings in previous research, contractionary monetary policy and MaP measures tend to mitigate the increase in house prices. Transaction volume declines in response to monetary tightening, and is also reduced in response to MaP measures, after a temporary increase. While monetary policy does not significantly change housing debt, MaP measures do have a mitigating effect on debt after a few periods. Our results are robust to alternative specifications.","citation-key":"ribonInteractionMacroprudentialMonetary2023","collection-number":"2023.11","collection-title":"Discussion Paper Series","language":"en","publisher-place":"Bank of Israel Research Department","source":"Zotero","title":"The Interaction between Macroprudential and Monetary Policies and the Housing Market – A VAR Examination for Israel","URL":"https://boiwebrepec.azurefd.net/RePEc/boi/wpaper/WP_2023.11.pdf","author":[{"family":"Ribon","given":"Sigal"}],"issued":{"date-parts":[["2023",7]]}}}],"schema":"https://github.com/citation-style-language/schema/raw/master/csl-citation.json"} </w:instrText>
      </w:r>
      <w:r w:rsidR="00763080" w:rsidRPr="00763080">
        <w:rPr>
          <w:color w:val="0081AD"/>
        </w:rPr>
        <w:fldChar w:fldCharType="separate"/>
      </w:r>
      <w:r w:rsidR="00763080" w:rsidRPr="00763080">
        <w:rPr>
          <w:rFonts w:ascii="Utopia" w:hAnsi="Utopia"/>
          <w:color w:val="0081AD"/>
        </w:rPr>
        <w:t>Ribon (2023)</w:t>
      </w:r>
      <w:r w:rsidR="00763080" w:rsidRPr="00763080">
        <w:rPr>
          <w:color w:val="0081AD"/>
        </w:rPr>
        <w:fldChar w:fldCharType="end"/>
      </w:r>
      <w:r w:rsidR="00763080">
        <w:t xml:space="preserve"> </w:t>
      </w:r>
      <w:r w:rsidR="00673D6C" w:rsidRPr="007E4B2B">
        <w:t>found that following a macroprudential innovation, home prices show a slight, statistically insignificant increase at first, followed by a decline that becomes significant after about a year.</w:t>
      </w:r>
      <w:r w:rsidR="00673D6C" w:rsidRPr="007E4B2B">
        <w:rPr>
          <w:rStyle w:val="FootnoteReference"/>
        </w:rPr>
        <w:t xml:space="preserve"> </w:t>
      </w:r>
      <w:r w:rsidR="00673D6C" w:rsidRPr="003C31AE">
        <w:rPr>
          <w:rStyle w:val="FootnoteReference"/>
        </w:rPr>
        <w:footnoteReference w:id="2"/>
      </w:r>
    </w:p>
    <w:p w14:paraId="2877E7D3" w14:textId="1C6F9F47" w:rsidR="00580D1F" w:rsidRDefault="00763080" w:rsidP="00763080">
      <w:pPr>
        <w:pStyle w:val="BodyText"/>
      </w:pPr>
      <w:r w:rsidRPr="00763080">
        <w:rPr>
          <w:color w:val="0081AD"/>
        </w:rPr>
        <w:fldChar w:fldCharType="begin"/>
      </w:r>
      <w:r w:rsidRPr="00763080">
        <w:rPr>
          <w:color w:val="0081AD"/>
        </w:rPr>
        <w:instrText xml:space="preserve"> ADDIN ZOTERO_ITEM CSL_CITATION {"citationID":"EHbKHPNo","properties":{"unsorted":false,"formattedCitation":"Laufer and Tzur-Ilan (2021)","plainCitation":"Laufer and Tzur-Ilan (2021)","noteIndex":0},"citationItems":[{"id":2455,"uris":["http://zotero.org/users/6680486/items/DV7PGXP4"],"itemData":{"id":2455,"type":"article-journal","citation-key":"lauferEffectLTVbasedRisk2021","container-title":"Journal of Urban Economics","DOI":"10.1016/j.jue.2021.103349","ISSN":"00941190","journalAbbreviation":"Journal of Urban Economics","language":"en","page":"103349","source":"DOI.org (Crossref)","title":"The effect of LTV-based risk weights on house prices: Evidence from an Israeli macroprudential policy","title-short":"The effect of LTV-based risk weights on house prices","volume":"124","author":[{"family":"Laufer","given":"Steven"},{"family":"Tzur-Ilan","given":"Nitzan"}],"issued":{"date-parts":[["2021",7]]}}}],"schema":"https://github.com/citation-style-language/schema/raw/master/csl-citation.json"} </w:instrText>
      </w:r>
      <w:r w:rsidRPr="00763080">
        <w:rPr>
          <w:color w:val="0081AD"/>
        </w:rPr>
        <w:fldChar w:fldCharType="separate"/>
      </w:r>
      <w:r w:rsidRPr="00763080">
        <w:rPr>
          <w:rFonts w:ascii="Utopia" w:hAnsi="Utopia"/>
          <w:color w:val="0081AD"/>
        </w:rPr>
        <w:t>Laufer and Tzur-Ilan (2021)</w:t>
      </w:r>
      <w:r w:rsidRPr="00763080">
        <w:rPr>
          <w:color w:val="0081AD"/>
        </w:rPr>
        <w:fldChar w:fldCharType="end"/>
      </w:r>
      <w:r>
        <w:t xml:space="preserve"> </w:t>
      </w:r>
      <w:r w:rsidR="00223489" w:rsidRPr="00223489">
        <w:t>analyzed a macroprudential policy introduced in October 2010, under which the Israeli banking regulator increased capital requirements for mortgages with LTV ratios above 60%. The measure raised interest rates on these loans and induced borrowers to reduce their LTV ratios below 60%.</w:t>
      </w:r>
      <w:r w:rsidR="00D42C8E">
        <w:t xml:space="preserve"> </w:t>
      </w:r>
      <w:r w:rsidR="00E16FD0" w:rsidRPr="007138A9">
        <w:t xml:space="preserve">Using microdata </w:t>
      </w:r>
      <w:r w:rsidR="00E16FD0">
        <w:t>t</w:t>
      </w:r>
      <w:r w:rsidR="001A66DC" w:rsidRPr="007138A9">
        <w:t xml:space="preserve">hey </w:t>
      </w:r>
      <w:r w:rsidR="000A1223">
        <w:t>found</w:t>
      </w:r>
      <w:r w:rsidR="001A66DC" w:rsidRPr="007138A9">
        <w:t xml:space="preserve"> that this macroprudential policy measure led to a roughly 3% decrease in ho</w:t>
      </w:r>
      <w:r w:rsidR="000A1223">
        <w:t>me</w:t>
      </w:r>
      <w:r w:rsidR="001A66DC" w:rsidRPr="007138A9">
        <w:t xml:space="preserve"> prices.</w:t>
      </w:r>
      <w:r w:rsidR="00912B41">
        <w:t xml:space="preserve"> </w:t>
      </w:r>
      <w:r w:rsidR="00912B41" w:rsidRPr="00F51F01">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{"citationID":"1G0VISpI","properties":{"formattedCitation":"Buitron and Denis (2014)","plainCitation":"Buitron and Denis (2014)","noteIndex":0},"citationItems":[{"id":1668,"uris":["http://zotero.org/users/6680486/items/L8M5U7EY"],"itemData":{"id":1668,"type":"report","citation-key":"buitronHousingMarketIsrael2014","genre":"IMF Country Report","number":"No. 14/48","publisher":"International Monetary Fund","title":"The Housing Market in Israel","title-short":"ISRAEL SELECTED ISSUES","author":[{"family":"Buitron","given":"Carolina Osorio"},{"family":"Denis","given":"Stephanie"}],"collection-editor":[{"family":"Ishi","given":"Kotaro"},{"family":"Josephs","given":"Tom"},{"family":"Bova","given":"Elva"}],"issued":{"date-parts":[["2014",1,24]]}}}],"schema":"https://github.com/citation-style-language/schema/raw/master/csl-citation.json"} </w:instrText>
      </w:r>
      <w:r w:rsidR="00912B41" w:rsidRPr="00F51F01">
        <w:rPr>
          <w:rFonts w:asciiTheme="majorHAnsi" w:hAnsiTheme="majorHAnsi" w:cs="David"/>
          <w:color w:val="0081AD"/>
          <w:lang w:bidi="he-IL"/>
        </w:rPr>
        <w:fldChar w:fldCharType="separate"/>
      </w:r>
      <w:r w:rsidR="00EC7FDA" w:rsidRPr="00F460D2">
        <w:rPr>
          <w:rFonts w:asciiTheme="majorHAnsi" w:hAnsiTheme="majorHAnsi" w:cs="David"/>
          <w:color w:val="0081AD"/>
          <w:lang w:bidi="he-IL"/>
        </w:rPr>
        <w:t>Buitron and Denis (2014)</w:t>
      </w:r>
      <w:r w:rsidR="00912B41" w:rsidRPr="00F51F01">
        <w:rPr>
          <w:rFonts w:asciiTheme="majorHAnsi" w:hAnsiTheme="majorHAnsi" w:cs="David"/>
          <w:color w:val="0081AD"/>
          <w:lang w:bidi="he-IL"/>
        </w:rPr>
        <w:fldChar w:fldCharType="end"/>
      </w:r>
      <w:r w:rsidR="00912B41" w:rsidRPr="00F51F01">
        <w:rPr>
          <w:rFonts w:asciiTheme="majorHAnsi" w:hAnsiTheme="majorHAnsi" w:cs="David"/>
          <w:color w:val="0081AD"/>
          <w:lang w:bidi="he-IL"/>
        </w:rPr>
        <w:t xml:space="preserve"> </w:t>
      </w:r>
      <w:r w:rsidR="00912B41" w:rsidRPr="004A7D80">
        <w:t xml:space="preserve">reported that while macroprudential policies in Israel have </w:t>
      </w:r>
      <w:r w:rsidR="000A1223">
        <w:t>reduc</w:t>
      </w:r>
      <w:r w:rsidR="00912B41" w:rsidRPr="004A7D80">
        <w:t>ed the volume of transactions in the housing market</w:t>
      </w:r>
      <w:r w:rsidR="002B1A5D">
        <w:t xml:space="preserve"> </w:t>
      </w:r>
      <w:r w:rsidR="001D29E7">
        <w:t xml:space="preserve">and </w:t>
      </w:r>
      <w:r w:rsidR="00FB4C8A">
        <w:t>reduced</w:t>
      </w:r>
      <w:r w:rsidR="002B1A5D" w:rsidRPr="004A7D80">
        <w:t xml:space="preserve"> n</w:t>
      </w:r>
      <w:r w:rsidR="001D29E7">
        <w:t>ew housing loans</w:t>
      </w:r>
      <w:r w:rsidR="00912B41" w:rsidRPr="004A7D80">
        <w:t xml:space="preserve">, there is no </w:t>
      </w:r>
      <w:r w:rsidR="001D29E7">
        <w:t>evidence</w:t>
      </w:r>
      <w:r w:rsidR="00912B41" w:rsidRPr="004A7D80">
        <w:t xml:space="preserve"> that they h</w:t>
      </w:r>
      <w:r w:rsidR="002B1A5D">
        <w:t>ave helped to restrain ho</w:t>
      </w:r>
      <w:r w:rsidR="000A1223">
        <w:t>me</w:t>
      </w:r>
      <w:r w:rsidR="002B1A5D">
        <w:t xml:space="preserve"> </w:t>
      </w:r>
      <w:r w:rsidR="00912B41" w:rsidRPr="004A7D80">
        <w:t>price</w:t>
      </w:r>
      <w:r w:rsidR="002B1A5D">
        <w:t>s.</w:t>
      </w:r>
    </w:p>
    <w:bookmarkEnd w:id="2"/>
    <w:p w14:paraId="3A952443" w14:textId="43FEFE29" w:rsidR="006155B4" w:rsidRDefault="001A66DC" w:rsidP="006155B4">
      <w:pPr>
        <w:pStyle w:val="BodyText"/>
      </w:pPr>
      <w:r>
        <w:t>A</w:t>
      </w:r>
      <w:r w:rsidRPr="008E2B36">
        <w:t xml:space="preserve">lthough these data-driven models </w:t>
      </w:r>
      <w:r w:rsidR="00B575A8">
        <w:t xml:space="preserve">and tests </w:t>
      </w:r>
      <w:r w:rsidRPr="008E2B36">
        <w:t xml:space="preserve">successfully characterize some </w:t>
      </w:r>
      <w:r>
        <w:t>featur</w:t>
      </w:r>
      <w:r w:rsidRPr="008E2B36">
        <w:t xml:space="preserve">es of the Israeli economy, they do not consider household heterogeneity, financial frictions, </w:t>
      </w:r>
      <w:r w:rsidR="007C0306">
        <w:t>and</w:t>
      </w:r>
      <w:r w:rsidRPr="008E2B36">
        <w:t xml:space="preserve"> general equilibrium effects. </w:t>
      </w:r>
      <w:r w:rsidR="006155B4" w:rsidRPr="006155B4">
        <w:t>More importantly, these studies are subject to the Lucas critique, since their reduced-form parameters reflect past policy actions and public responses. A DSGE model is therefore needed to assess policy effects more effectively.</w:t>
      </w:r>
    </w:p>
    <w:p w14:paraId="2EEDD381" w14:textId="7CC23E62" w:rsidR="005626F0" w:rsidRPr="006155B4" w:rsidRDefault="00AC7739" w:rsidP="00763080">
      <w:pPr>
        <w:bidi w:val="0"/>
        <w:jc w:val="both"/>
      </w:pPr>
      <w:r w:rsidRPr="00AC7739">
        <w:rPr>
          <w:sz w:val="24"/>
          <w:szCs w:val="24"/>
          <w:lang w:bidi="ar-SA"/>
        </w:rPr>
        <w:t>Several studies have examined the impact of these policies on housing prices using DSGE models in other countries.</w:t>
      </w:r>
      <w:r>
        <w:rPr>
          <w:sz w:val="24"/>
          <w:szCs w:val="24"/>
          <w:lang w:bidi="ar-SA"/>
        </w:rPr>
        <w:t xml:space="preserve"> </w:t>
      </w:r>
      <w:r w:rsidR="005626F0" w:rsidRPr="003E2CCD">
        <w:rPr>
          <w:sz w:val="24"/>
          <w:szCs w:val="24"/>
          <w:lang w:bidi="ar-SA"/>
        </w:rPr>
        <w:t>For example</w:t>
      </w:r>
      <w:bookmarkStart w:id="3" w:name="OLE_LINK45"/>
      <w:r w:rsidR="005626F0" w:rsidRPr="003E2CCD">
        <w:rPr>
          <w:sz w:val="24"/>
          <w:szCs w:val="24"/>
          <w:lang w:bidi="ar-SA"/>
        </w:rPr>
        <w:t xml:space="preserve">, </w:t>
      </w:r>
      <w:r w:rsidR="005626F0" w:rsidRPr="003E2CCD">
        <w:rPr>
          <w:rFonts w:asciiTheme="majorHAnsi" w:hAnsiTheme="majorHAnsi" w:cs="David"/>
          <w:color w:val="0081AD"/>
          <w:sz w:val="24"/>
          <w:szCs w:val="24"/>
        </w:rPr>
        <w:fldChar w:fldCharType="begin"/>
      </w:r>
      <w:r w:rsidR="005626F0" w:rsidRPr="003E2CCD">
        <w:rPr>
          <w:rFonts w:asciiTheme="majorHAnsi" w:hAnsiTheme="majorHAnsi" w:cs="David"/>
          <w:color w:val="0081AD"/>
          <w:sz w:val="24"/>
          <w:szCs w:val="24"/>
        </w:rPr>
        <w:instrText xml:space="preserve"> ADDIN ZOTERO_ITEM CSL_CITATION {"citationID":"dV47YxVO","properties":{"formattedCitation":"Funke et al. (2018)","plainCitation":"Funke et al. (2018)","noteIndex":0},"citationItems":[{"id":2603,"uris":["http://zotero.org/users/6680486/items/TCMVMC87"],"itemData":{"id":2603,"type":"article-journal","abstract":"We analyse macroprudential and monetary policies and their interactions using an estimated dynamic stochastic general equilibrium (DSGE) model tailored to New Zealand. Our estimates show that monetary policy has large spillover eﬀects on house prices, however it has not been a major driver of house prices in New Zealand which have instead been driven by sector-speciﬁc shocks. We consider macroprudential policies, including the loan-to-value restrictions that have been implemented in New Zealand. We ﬁnd that loan-to-value restrictions reduce house prices with negligible eﬀects on consumer prices, suggesting they can be used without derailing monetary policy. Eﬃcient policy frontier analysis suggests macroprudential policy is a useful addition to monetary policy, and the two do not need to be coordinated. We estimate that the loan-to-value restrictions imposed in New Zealand in 2013 reduced house prices by 3.8% and that greater forward guidance on their duration would have made them more eﬀective.","citation-key":"funkeHousePricesMacroprudential2018","container-title":"Journal of Macroeconomics","DOI":"10.1016/j.jmacro.2018.01.006","ISSN":"01640704","journalAbbreviation":"Journal of Macroeconomics","language":"en","page":"152-171","source":"DOI.org (Crossref)","title":"House prices and macroprudential policy in an estimated DSGE model of New Zealand","volume":"56","author":[{"family":"Funke","given":"Michael"},{"family":"Kirkby","given":"Robert"},{"family":"Mihaylovski","given":"Petar"}],"issued":{"date-parts":[["2018",6]]}}}],"schema":"https://github.com/citation-style-language/schema/raw/master/csl-citation.json"} </w:instrText>
      </w:r>
      <w:r w:rsidR="005626F0" w:rsidRPr="003E2CCD">
        <w:rPr>
          <w:rFonts w:asciiTheme="majorHAnsi" w:hAnsiTheme="majorHAnsi" w:cs="David"/>
          <w:color w:val="0081AD"/>
          <w:sz w:val="24"/>
          <w:szCs w:val="24"/>
        </w:rPr>
        <w:fldChar w:fldCharType="separate"/>
      </w:r>
      <w:r w:rsidR="005626F0" w:rsidRPr="003E2CCD">
        <w:rPr>
          <w:rFonts w:asciiTheme="majorHAnsi" w:hAnsiTheme="majorHAnsi" w:cs="David"/>
          <w:color w:val="0081AD"/>
          <w:sz w:val="24"/>
          <w:szCs w:val="24"/>
        </w:rPr>
        <w:t>Funke et al. (2018)</w:t>
      </w:r>
      <w:r w:rsidR="005626F0" w:rsidRPr="003E2CCD">
        <w:rPr>
          <w:rFonts w:asciiTheme="majorHAnsi" w:hAnsiTheme="majorHAnsi" w:cs="David"/>
          <w:color w:val="0081AD"/>
          <w:sz w:val="24"/>
          <w:szCs w:val="24"/>
        </w:rPr>
        <w:fldChar w:fldCharType="end"/>
      </w:r>
      <w:bookmarkEnd w:id="3"/>
      <w:r w:rsidR="005626F0" w:rsidRPr="003E2CCD">
        <w:rPr>
          <w:sz w:val="24"/>
          <w:szCs w:val="24"/>
          <w:lang w:bidi="ar-SA"/>
        </w:rPr>
        <w:t xml:space="preserve"> developed a DSGE model </w:t>
      </w:r>
      <w:r w:rsidR="005626F0" w:rsidRPr="00120993">
        <w:rPr>
          <w:sz w:val="24"/>
          <w:szCs w:val="24"/>
          <w:lang w:bidi="ar-SA"/>
        </w:rPr>
        <w:t xml:space="preserve">with housing for New Zealand, demonstrating that macroprudential policies may reduce home prices. Studies by </w:t>
      </w:r>
      <w:r w:rsidR="00763080" w:rsidRPr="00763080">
        <w:rPr>
          <w:color w:val="0081AD"/>
          <w:sz w:val="24"/>
          <w:szCs w:val="24"/>
          <w:lang w:bidi="ar-SA"/>
        </w:rPr>
        <w:fldChar w:fldCharType="begin"/>
      </w:r>
      <w:r w:rsidR="00763080" w:rsidRPr="00763080">
        <w:rPr>
          <w:color w:val="0081AD"/>
          <w:sz w:val="24"/>
          <w:szCs w:val="24"/>
          <w:lang w:bidi="ar-SA"/>
        </w:rPr>
        <w:instrText xml:space="preserve"> ADDIN ZOTERO_ITEM CSL_CITATION {"citationID":"aj9cyM3p","properties":{"unsorted":false,"formattedCitation":"Bruneau et al. (2018)","plainCitation":"Bruneau et al. (2018)","noteIndex":0},"citationItems":[{"id":2625,"uris":["http://zotero.org/users/6680486/items/S9SIS5BS"],"itemData":{"id":2625,"type":"article-journal","abstract":"In this paper, we analyze the implications of macroprudential and monetary policies for credit cycles, housing market stability and spillovers to consumption. We consider a countercyclical loan-to-value (LTV) policy that responds to a credit-to-income ratio, and we compare its e</w:instrText>
      </w:r>
      <w:r w:rsidR="00763080" w:rsidRPr="00763080">
        <w:rPr>
          <w:rFonts w:ascii="Arial" w:hAnsi="Arial" w:cs="Arial"/>
          <w:color w:val="0081AD"/>
          <w:sz w:val="24"/>
          <w:szCs w:val="24"/>
          <w:lang w:bidi="ar-SA"/>
        </w:rPr>
        <w:instrText>ﬀ</w:instrText>
      </w:r>
      <w:r w:rsidR="00763080" w:rsidRPr="00763080">
        <w:rPr>
          <w:color w:val="0081AD"/>
          <w:sz w:val="24"/>
          <w:szCs w:val="24"/>
          <w:lang w:bidi="ar-SA"/>
        </w:rPr>
        <w:instrText xml:space="preserve">ectiveness with a permanent tightening of the LTV ratio and a monetary policy rule that responds to credit. To this end, we construct a dynamic stochastic general equilibrium model with housing market, household debt and collateral constraints, and we estimate it with Canadian data using Bayesian methods. Our study suggests that a countercyclical LTV ratio is a useful policy to reduce spillovers from the housing market into consumption and to lean against housing market boom–bust cycles. It performs better than the permanent tightening of the LTV ratio—a policy that has been used in a number of countries—and the monetary policy rule, both in terms of the stabilization of household indebtedness and spillovers into consumption. Monetary policy that leans against the wind is the least desirable due to its large adverse consequences on the real economy.","citation-key":"bruneauHousingMarketDynamics2018","container-title":"Canadian Journal of Economics","DOI":"10.1111/caje.12346","ISSN":"0008-4085, 1540-5982","issue":"3","journalAbbreviation":"Canadian J of Economics","language":"en","page":"864-900","source":"DOI.org (Crossref)","title":"Housing market dynamics and macroprudential policies","volume":"51","author":[{"family":"Bruneau","given":"Gabriel"},{"family":"Christensen","given":"Ian"},{"family":"Meh","given":"Césaire"}],"issued":{"date-parts":[["2018",8]]}}}],"schema":"https://github.com/citation-style-language/schema/raw/master/csl-citation.json"} </w:instrText>
      </w:r>
      <w:r w:rsidR="00763080" w:rsidRPr="00763080">
        <w:rPr>
          <w:color w:val="0081AD"/>
          <w:sz w:val="24"/>
          <w:szCs w:val="24"/>
          <w:lang w:bidi="ar-SA"/>
        </w:rPr>
        <w:fldChar w:fldCharType="separate"/>
      </w:r>
      <w:r w:rsidR="00763080" w:rsidRPr="00763080">
        <w:rPr>
          <w:rFonts w:ascii="Utopia" w:hAnsi="Utopia"/>
          <w:color w:val="0081AD"/>
          <w:sz w:val="24"/>
        </w:rPr>
        <w:t>Bruneau et al. (2018)</w:t>
      </w:r>
      <w:r w:rsidR="00763080" w:rsidRPr="00763080">
        <w:rPr>
          <w:color w:val="0081AD"/>
          <w:sz w:val="24"/>
          <w:szCs w:val="24"/>
          <w:lang w:bidi="ar-SA"/>
        </w:rPr>
        <w:fldChar w:fldCharType="end"/>
      </w:r>
      <w:r w:rsidR="00763080">
        <w:rPr>
          <w:sz w:val="24"/>
          <w:szCs w:val="24"/>
          <w:lang w:bidi="ar-SA"/>
        </w:rPr>
        <w:t xml:space="preserve"> </w:t>
      </w:r>
      <w:r w:rsidR="005626F0" w:rsidRPr="00120993">
        <w:rPr>
          <w:sz w:val="24"/>
          <w:szCs w:val="24"/>
          <w:lang w:bidi="ar-SA"/>
        </w:rPr>
        <w:t xml:space="preserve">for Canada and by </w:t>
      </w:r>
      <w:r w:rsidR="005626F0" w:rsidRPr="00BE642F">
        <w:rPr>
          <w:rFonts w:asciiTheme="majorHAnsi" w:hAnsiTheme="majorHAnsi" w:cs="David"/>
          <w:color w:val="0081AD"/>
          <w:sz w:val="24"/>
          <w:szCs w:val="24"/>
        </w:rPr>
        <w:fldChar w:fldCharType="begin"/>
      </w:r>
      <w:r w:rsidR="005626F0" w:rsidRPr="00BE642F">
        <w:rPr>
          <w:rFonts w:asciiTheme="majorHAnsi" w:hAnsiTheme="majorHAnsi" w:cs="David"/>
          <w:color w:val="0081AD"/>
          <w:sz w:val="24"/>
          <w:szCs w:val="24"/>
        </w:rPr>
        <w:instrText xml:space="preserve"> ADDIN ZOTERO_ITEM CSL_CITATION {"citationID":"GKi7fNLc","properties":{"formattedCitation":"Lee and Song (2015)","plainCitation":"Lee and Song (2015)","noteIndex":0},"citationItems":[{"id":2229,"uris":["http://zotero.org/users/6680486/items/F5J9C5A6"],"itemData":{"id":2229,"type":"article-journal","abstract":"The Korean housing market showed booms in the early 2000s and sharp ﬂuctuations after the U.S. ﬁnancial crisis. The recent increase in volatility in the housing market has motivated greater attention to the relationship between the housing market and the Korean economy. This paper develops a dynamic stochastic general equilibrium (DSGE) model with the housing construction sector and analyzes the role of housing in the Korean business cycles. The results indicate that the model incorporating the collateral role of houses in conjunction with predetermined pricing in the housing construction sector provides a reasonably good ﬁt to the data. In addition, the paper conducts policy simulations of a changing loan-to-value (LTV) ratio ceiling and ﬁnds its significant effects on ﬁnancially constrained households' consumption.","citation-key":"leeHousingBusinessCycles2015","container-title":"Economic Modelling","DOI":"10.1016/j.econmod.2014.11.009","ISSN":"02649993","journalAbbreviation":"Economic Modelling","language":"en","page":"99-108","source":"DOI.org (Crossref)","title":"Housing and business cycles in Korea: A multi-sector Bayesian DSGE approach","title-short":"Housing and business cycles in Korea","volume":"45","author":[{"family":"Lee","given":"Junhee"},{"family":"Song","given":"Joonhyuk"}],"issued":{"date-parts":[["2015",2]]}}}],"schema":"https://github.com/citation-style-language/schema/raw/master/csl-citation.json"} </w:instrText>
      </w:r>
      <w:r w:rsidR="005626F0" w:rsidRPr="00BE642F">
        <w:rPr>
          <w:rFonts w:asciiTheme="majorHAnsi" w:hAnsiTheme="majorHAnsi" w:cs="David"/>
          <w:color w:val="0081AD"/>
          <w:sz w:val="24"/>
          <w:szCs w:val="24"/>
        </w:rPr>
        <w:fldChar w:fldCharType="separate"/>
      </w:r>
      <w:r w:rsidR="005626F0" w:rsidRPr="00BE642F">
        <w:rPr>
          <w:rFonts w:asciiTheme="majorHAnsi" w:hAnsiTheme="majorHAnsi" w:cs="David"/>
          <w:color w:val="0081AD"/>
          <w:sz w:val="24"/>
          <w:szCs w:val="24"/>
        </w:rPr>
        <w:t>Lee and Song (2015)</w:t>
      </w:r>
      <w:r w:rsidR="005626F0" w:rsidRPr="00BE642F">
        <w:rPr>
          <w:rFonts w:asciiTheme="majorHAnsi" w:hAnsiTheme="majorHAnsi" w:cs="David"/>
          <w:color w:val="0081AD"/>
          <w:sz w:val="24"/>
          <w:szCs w:val="24"/>
        </w:rPr>
        <w:fldChar w:fldCharType="end"/>
      </w:r>
      <w:r w:rsidR="005626F0" w:rsidRPr="00BE642F">
        <w:rPr>
          <w:rFonts w:asciiTheme="majorHAnsi" w:hAnsiTheme="majorHAnsi" w:cs="David"/>
          <w:color w:val="0081AD"/>
          <w:sz w:val="24"/>
          <w:szCs w:val="24"/>
        </w:rPr>
        <w:t xml:space="preserve"> </w:t>
      </w:r>
      <w:r w:rsidR="005626F0" w:rsidRPr="00120993">
        <w:rPr>
          <w:sz w:val="24"/>
          <w:szCs w:val="24"/>
          <w:lang w:bidi="ar-SA"/>
        </w:rPr>
        <w:t>for Korea show similar results. However, these results are</w:t>
      </w:r>
      <w:r w:rsidR="005626F0" w:rsidRPr="00120993">
        <w:rPr>
          <w:sz w:val="24"/>
          <w:szCs w:val="24"/>
        </w:rPr>
        <w:t xml:space="preserve"> not consistent with empirical studies, which found a smaller impact. </w:t>
      </w:r>
      <w:r w:rsidR="005626F0" w:rsidRPr="00120993">
        <w:rPr>
          <w:rFonts w:asciiTheme="majorHAnsi" w:hAnsiTheme="majorHAnsi" w:cs="David"/>
          <w:color w:val="0081AD"/>
          <w:sz w:val="24"/>
          <w:szCs w:val="24"/>
        </w:rPr>
        <w:fldChar w:fldCharType="begin"/>
      </w:r>
      <w:r w:rsidR="005626F0" w:rsidRPr="00120993">
        <w:rPr>
          <w:rFonts w:asciiTheme="majorHAnsi" w:hAnsiTheme="majorHAnsi" w:cs="David"/>
          <w:color w:val="0081AD"/>
          <w:sz w:val="24"/>
          <w:szCs w:val="24"/>
        </w:rPr>
        <w:instrText xml:space="preserve"> ADDIN ZOTERO_ITEM CSL_CITATION {"citationID":"FcfNRIpg","properties":{"formattedCitation":"Cerutti et al. (2017)","plainCitation":"Cerutti et al. (2017)","noteIndex":0},"citationItems":[{"id":2230,"uris":["http://zotero.org/users/6680486/items/CRL49XA5"],"itemData":{"id":2230,"type":"article-journal","abstract":"Using a recent IMF survey and expanding on previous studies, we document the use of macroprudential policies for 119 countries over the 2000–2013 period, covering many instruments. Emerging economies use macroprudential policies most frequently; especially foreign exchange related ones while advanced countries use borrower-based policies more. Usage is generally associated with lower growth in credit, notably in household credit. Effects are less in financially more developed and open economies, however, and usage comes with greater cross-border borrowing, suggesting some avoidance. And while macroprudential policies can help manage financial cycles, they work less well in busts.","citation-key":"ceruttiUseEffectivenessMacroprudential2017","container-title":"Journal of Financial Stability","DOI":"10.1016/j.jfs.2015.10.004","ISSN":"1572-3089","journalAbbreviation":"Journal of Financial Stability","language":"en","page":"203-224","source":"ScienceDirect","title":"The use and effectiveness of macroprudential policies: New evidence","title-short":"The use and effectiveness of macroprudential policies","volume":"28","author":[{"family":"Cerutti","given":"Eugenio"},{"family":"Claessens","given":"Stijn"},{"family":"Laeven","given":"Luc"}],"issued":{"date-parts":[["2017",2,1]]}}}],"schema":"https://github.com/citation-style-language/schema/raw/master/csl-citation.json"} </w:instrText>
      </w:r>
      <w:r w:rsidR="005626F0" w:rsidRPr="00120993">
        <w:rPr>
          <w:rFonts w:asciiTheme="majorHAnsi" w:hAnsiTheme="majorHAnsi" w:cs="David"/>
          <w:color w:val="0081AD"/>
          <w:sz w:val="24"/>
          <w:szCs w:val="24"/>
        </w:rPr>
        <w:fldChar w:fldCharType="separate"/>
      </w:r>
      <w:r w:rsidR="005626F0" w:rsidRPr="00120993">
        <w:rPr>
          <w:rFonts w:asciiTheme="majorHAnsi" w:hAnsiTheme="majorHAnsi" w:cs="David"/>
          <w:color w:val="0081AD"/>
          <w:sz w:val="24"/>
          <w:szCs w:val="24"/>
        </w:rPr>
        <w:t>Cerutti et al. (2017)</w:t>
      </w:r>
      <w:r w:rsidR="005626F0" w:rsidRPr="00120993">
        <w:rPr>
          <w:rFonts w:asciiTheme="majorHAnsi" w:hAnsiTheme="majorHAnsi" w:cs="David"/>
          <w:color w:val="0081AD"/>
          <w:sz w:val="24"/>
          <w:szCs w:val="24"/>
        </w:rPr>
        <w:fldChar w:fldCharType="end"/>
      </w:r>
      <w:r w:rsidR="005626F0" w:rsidRPr="00120993">
        <w:rPr>
          <w:rFonts w:asciiTheme="majorHAnsi" w:hAnsiTheme="majorHAnsi" w:cs="David"/>
          <w:color w:val="0081AD"/>
          <w:sz w:val="24"/>
          <w:szCs w:val="24"/>
        </w:rPr>
        <w:t xml:space="preserve"> </w:t>
      </w:r>
      <w:r w:rsidR="005626F0" w:rsidRPr="00120993">
        <w:rPr>
          <w:sz w:val="24"/>
          <w:szCs w:val="24"/>
        </w:rPr>
        <w:t xml:space="preserve">investigated the impact of macroprudential policies, such as an LTV ratio cap, on home prices and credit </w:t>
      </w:r>
      <w:r w:rsidR="005626F0" w:rsidRPr="00120993">
        <w:rPr>
          <w:sz w:val="24"/>
          <w:szCs w:val="24"/>
        </w:rPr>
        <w:lastRenderedPageBreak/>
        <w:t>across 119 countries. Their findings indicate that LTV policies significantly curbed household credit growth. The impact on home prices was slightly negative but not statistically significant in advanced economies. We conjecture that the inconsistency between the results from the DSGE models and the empirical studies may be</w:t>
      </w:r>
      <w:r w:rsidR="00F1573D">
        <w:rPr>
          <w:sz w:val="24"/>
          <w:szCs w:val="24"/>
        </w:rPr>
        <w:t xml:space="preserve"> </w:t>
      </w:r>
      <w:r w:rsidR="005626F0" w:rsidRPr="00120993">
        <w:rPr>
          <w:sz w:val="24"/>
          <w:szCs w:val="24"/>
        </w:rPr>
        <w:t>due to the absence of the r</w:t>
      </w:r>
      <w:r w:rsidR="00FD6049">
        <w:rPr>
          <w:sz w:val="24"/>
          <w:szCs w:val="24"/>
        </w:rPr>
        <w:t>ental market in the DSGE models.</w:t>
      </w:r>
    </w:p>
    <w:p w14:paraId="75A33704" w14:textId="549EB8C9" w:rsidR="003B31FA" w:rsidRDefault="00D775A6" w:rsidP="00913BB2">
      <w:pPr>
        <w:pStyle w:val="BodyText"/>
      </w:pPr>
      <w:r>
        <w:t>The last</w:t>
      </w:r>
      <w:r w:rsidR="006B7A71" w:rsidRPr="006B7A71">
        <w:t xml:space="preserve"> interesting question is whether macroprudential policy influences the effectiveness of monetary policy. </w:t>
      </w:r>
      <w:r w:rsidR="005D5553" w:rsidRPr="008E2B36">
        <w:t>This issue is closely related to the institutional setup of macroprudential policy and its interactions with monetary policy (</w:t>
      </w:r>
      <w:r w:rsidR="005D5553" w:rsidRPr="005B6823">
        <w:rPr>
          <w:rFonts w:asciiTheme="majorHAnsi" w:hAnsiTheme="majorHAnsi" w:cs="David"/>
          <w:color w:val="0081AD"/>
          <w:lang w:bidi="he-IL"/>
        </w:rPr>
        <w:fldChar w:fldCharType="begin"/>
      </w:r>
      <w:r w:rsidR="005D5553">
        <w:rPr>
          <w:rFonts w:asciiTheme="majorHAnsi" w:hAnsiTheme="majorHAnsi" w:cs="David"/>
          <w:color w:val="0081AD"/>
          <w:lang w:bidi="he-IL"/>
        </w:rPr>
        <w:instrText xml:space="preserve"> ADDIN ZOTERO_ITEM CSL_CITATION {"citationID":"cP8Xw2Lf","properties":{"formattedCitation":"Malovan\\uc0\\u225{} et al. (2023)","plainCitation":"Malovaná et al. (2023)","noteIndex":0},"citationItems":[{"id":3589,"uris":["http://zotero.org/users/6680486/items/I4GJCLFK"],"itemData":{"id":3589,"type":"article-journal","abstract":"We surveyed experts from academia, central banks, and other regulatory institutions on the preferred institutional setup of macroprudential policy and the underlying interactions stemming from the conduct of monetary and macroprudential policy. We find substantial support for the integration setup, under which macroprudential policy is entrusted to the central bank and not to a separate institution. The most significant factors driving the respondents’ views are the large degree of interdependence of the two policies, the potential information gains from keeping them ‘‘under one roof’’, and a greater capability to resolve strategic conflicts. We identify non-negligible heterogeneity in the responses, especially in terms of respondents’ experience, expertise, and position.","citation-key":"malovanaMacroprudentialPolicyCentral2023","container-title":"Journal of Financial Stability","DOI":"10.1016/j.jfs.2023.101107","ISSN":"15723089","journalAbbreviation":"Journal of Financial Stability","language":"en","page":"101107","source":"DOI.org (Crossref)","title":"Macroprudential policy in central banks: Integrated or separate? Survey among academics and central bankers","title-short":"Macroprudential policy in central banks","volume":"65","author":[{"family":"Malovaná","given":"Simona"},{"family":"Hodula","given":"Martin"},{"family":"Gric","given":"Zuzana"},{"family":"Bajzík","given":"Josef"}],"issued":{"date-parts":[["2023",4]]}}}],"schema":"https://github.com/citation-style-language/schema/raw/master/csl-citation.json"} </w:instrText>
      </w:r>
      <w:r w:rsidR="005D5553" w:rsidRPr="005B6823">
        <w:rPr>
          <w:rFonts w:asciiTheme="majorHAnsi" w:hAnsiTheme="majorHAnsi" w:cs="David"/>
          <w:color w:val="0081AD"/>
          <w:lang w:bidi="he-IL"/>
        </w:rPr>
        <w:fldChar w:fldCharType="separate"/>
      </w:r>
      <w:r w:rsidR="005D5553" w:rsidRPr="00274403">
        <w:rPr>
          <w:rFonts w:asciiTheme="majorHAnsi" w:hAnsiTheme="majorHAnsi" w:cs="David"/>
          <w:color w:val="0081AD"/>
          <w:lang w:bidi="he-IL"/>
        </w:rPr>
        <w:t>Malovaná et al. (2023)</w:t>
      </w:r>
      <w:r w:rsidR="005D5553" w:rsidRPr="005B6823">
        <w:rPr>
          <w:rFonts w:asciiTheme="majorHAnsi" w:hAnsiTheme="majorHAnsi" w:cs="David"/>
          <w:color w:val="0081AD"/>
          <w:lang w:bidi="he-IL"/>
        </w:rPr>
        <w:fldChar w:fldCharType="end"/>
      </w:r>
      <w:r w:rsidR="005D5553" w:rsidRPr="008E2B36">
        <w:t xml:space="preserve">). </w:t>
      </w:r>
      <w:r w:rsidR="000E116E" w:rsidRPr="003E2CCD">
        <w:rPr>
          <w:rFonts w:asciiTheme="majorHAnsi" w:hAnsiTheme="majorHAnsi" w:cs="David"/>
          <w:color w:val="0081AD"/>
        </w:rPr>
        <w:fldChar w:fldCharType="begin"/>
      </w:r>
      <w:r w:rsidR="00913BB2">
        <w:rPr>
          <w:rFonts w:asciiTheme="majorHAnsi" w:hAnsiTheme="majorHAnsi" w:cs="David"/>
          <w:color w:val="0081AD"/>
        </w:rPr>
        <w:instrText xml:space="preserve"> ADDIN ZOTERO_ITEM CSL_CITATION {"citationID":"iXrnFSFQ","properties":{"formattedCitation":"Funke et al. (2018)","plainCitation":"Funke et al. (2018)","noteIndex":0},"citationItems":[{"id":2603,"uris":["http://zotero.org/users/6680486/items/TCMVMC87"],"itemData":{"id":2603,"type":"article-journal","abstract":"We analyse macroprudential and monetary policies and their interactions using an estimated dynamic stochastic general equilibrium (DSGE) model tailored to New Zealand. Our estimates show that monetary policy has large spillover e</w:instrText>
      </w:r>
      <w:r w:rsidR="00913BB2">
        <w:rPr>
          <w:rFonts w:ascii="Arial" w:hAnsi="Arial" w:cs="Arial"/>
          <w:color w:val="0081AD"/>
        </w:rPr>
        <w:instrText>ﬀ</w:instrText>
      </w:r>
      <w:r w:rsidR="00913BB2">
        <w:rPr>
          <w:rFonts w:asciiTheme="majorHAnsi" w:hAnsiTheme="majorHAnsi" w:cs="David"/>
          <w:color w:val="0081AD"/>
        </w:rPr>
        <w:instrText>ects on house prices, however it has not been a major driver of house prices in New Zealand which have instead been driven by sector-speci</w:instrText>
      </w:r>
      <w:r w:rsidR="00913BB2">
        <w:rPr>
          <w:rFonts w:ascii="Utopia" w:hAnsi="Utopia" w:cs="Utopia"/>
          <w:color w:val="0081AD"/>
        </w:rPr>
        <w:instrText>ﬁ</w:instrText>
      </w:r>
      <w:r w:rsidR="00913BB2">
        <w:rPr>
          <w:rFonts w:asciiTheme="majorHAnsi" w:hAnsiTheme="majorHAnsi" w:cs="David"/>
          <w:color w:val="0081AD"/>
        </w:rPr>
        <w:instrText xml:space="preserve">c shocks. We consider macroprudential policies, including the loan-to-value restrictions that have been implemented in New Zealand. We </w:instrText>
      </w:r>
      <w:r w:rsidR="00913BB2">
        <w:rPr>
          <w:rFonts w:ascii="Utopia" w:hAnsi="Utopia" w:cs="Utopia"/>
          <w:color w:val="0081AD"/>
        </w:rPr>
        <w:instrText>ﬁ</w:instrText>
      </w:r>
      <w:r w:rsidR="00913BB2">
        <w:rPr>
          <w:rFonts w:asciiTheme="majorHAnsi" w:hAnsiTheme="majorHAnsi" w:cs="David"/>
          <w:color w:val="0081AD"/>
        </w:rPr>
        <w:instrText>nd that loan-to-value restrictions reduce house prices with negligible e</w:instrText>
      </w:r>
      <w:r w:rsidR="00913BB2">
        <w:rPr>
          <w:rFonts w:ascii="Arial" w:hAnsi="Arial" w:cs="Arial"/>
          <w:color w:val="0081AD"/>
        </w:rPr>
        <w:instrText>ﬀ</w:instrText>
      </w:r>
      <w:r w:rsidR="00913BB2">
        <w:rPr>
          <w:rFonts w:asciiTheme="majorHAnsi" w:hAnsiTheme="majorHAnsi" w:cs="David"/>
          <w:color w:val="0081AD"/>
        </w:rPr>
        <w:instrText>ects on consumer prices, suggesting they can be used without derailing monetary policy. E</w:instrText>
      </w:r>
      <w:r w:rsidR="00913BB2">
        <w:rPr>
          <w:rFonts w:ascii="Arial" w:hAnsi="Arial" w:cs="Arial"/>
          <w:color w:val="0081AD"/>
        </w:rPr>
        <w:instrText>ﬃ</w:instrText>
      </w:r>
      <w:r w:rsidR="00913BB2">
        <w:rPr>
          <w:rFonts w:asciiTheme="majorHAnsi" w:hAnsiTheme="majorHAnsi" w:cs="David"/>
          <w:color w:val="0081AD"/>
        </w:rPr>
        <w:instrText>cient policy frontier analysis suggests macroprudential policy is a useful addition to monetary policy, and the two do not need to be coordinated. We estimate that the loan-to-value restrictions imposed in New Zealand in 2013 reduced house prices by 3.8% and that greater forward guidance on their duration would have made them more e</w:instrText>
      </w:r>
      <w:r w:rsidR="00913BB2">
        <w:rPr>
          <w:rFonts w:ascii="Arial" w:hAnsi="Arial" w:cs="Arial"/>
          <w:color w:val="0081AD"/>
        </w:rPr>
        <w:instrText>ﬀ</w:instrText>
      </w:r>
      <w:r w:rsidR="00913BB2">
        <w:rPr>
          <w:rFonts w:asciiTheme="majorHAnsi" w:hAnsiTheme="majorHAnsi" w:cs="David"/>
          <w:color w:val="0081AD"/>
        </w:rPr>
        <w:instrText xml:space="preserve">ective.","citation-key":"funkeHousePricesMacroprudential2018","container-title":"Journal of Macroeconomics","DOI":"10.1016/j.jmacro.2018.01.006","ISSN":"01640704","journalAbbreviation":"Journal of Macroeconomics","language":"en","page":"152-171","source":"DOI.org (Crossref)","title":"House prices and macroprudential policy in an estimated DSGE model of New Zealand","volume":"56","author":[{"family":"Funke","given":"Michael"},{"family":"Kirkby","given":"Robert"},{"family":"Mihaylovski","given":"Petar"}],"issued":{"date-parts":[["2018",6]]}}}],"schema":"https://github.com/citation-style-language/schema/raw/master/csl-citation.json"} </w:instrText>
      </w:r>
      <w:r w:rsidR="000E116E" w:rsidRPr="003E2CCD">
        <w:rPr>
          <w:rFonts w:asciiTheme="majorHAnsi" w:hAnsiTheme="majorHAnsi" w:cs="David"/>
          <w:color w:val="0081AD"/>
        </w:rPr>
        <w:fldChar w:fldCharType="separate"/>
      </w:r>
      <w:r w:rsidR="000E116E" w:rsidRPr="003E2CCD">
        <w:rPr>
          <w:rFonts w:asciiTheme="majorHAnsi" w:hAnsiTheme="majorHAnsi" w:cs="David"/>
          <w:color w:val="0081AD"/>
        </w:rPr>
        <w:t>Funke et al. (2018)</w:t>
      </w:r>
      <w:r w:rsidR="000E116E" w:rsidRPr="003E2CCD">
        <w:rPr>
          <w:rFonts w:asciiTheme="majorHAnsi" w:hAnsiTheme="majorHAnsi" w:cs="David"/>
          <w:color w:val="0081AD"/>
        </w:rPr>
        <w:fldChar w:fldCharType="end"/>
      </w:r>
      <w:r w:rsidR="000E116E" w:rsidRPr="003E2CCD">
        <w:t xml:space="preserve"> </w:t>
      </w:r>
      <w:r w:rsidR="005D5553" w:rsidRPr="004D06BA">
        <w:t xml:space="preserve"> show that changes in LTV ratios have little impact on the effectiveness of monetary policy. </w:t>
      </w:r>
      <w:r w:rsidR="00913BB2" w:rsidRPr="00913BB2">
        <w:rPr>
          <w:color w:val="0081AD"/>
        </w:rPr>
        <w:fldChar w:fldCharType="begin"/>
      </w:r>
      <w:r w:rsidR="00913BB2" w:rsidRPr="00913BB2">
        <w:rPr>
          <w:color w:val="0081AD"/>
        </w:rPr>
        <w:instrText xml:space="preserve"> ADDIN ZOTERO_ITEM CSL_CITATION {"citationID":"Pk1r1r26","properties":{"unsorted":false,"formattedCitation":"Cozzi et al. (2021)","plainCitation":"Cozzi et al. (2021)","noteIndex":0},"citationItems":[{"id":2069,"uris":["http://zotero.org/users/6680486/items/BKE5ZHMJ"],"itemData":{"id":2069,"type":"article","citation-key":"cozziMacroprudentialPolicyMeasures2021","collection-number":"2376","collection-title":"ECB Working Paper Series","DOI":"10.2139/ssrn.3541732","language":"en","source":"DOI.org (Crossref)","title":"Macroprudential Policy Measures: Macroeconomic Impact and Interaction with Monetary Policy","title-short":"Macroprudential Policy Measures","URL":"https://www.ssrn.com/abstract=3541732","author":[{"family":"Cozzi","given":"Guido"},{"family":"Darracq Paries","given":"Matthieu"},{"family":"Karadi","given":"Peter"},{"family":"Körner","given":"Jenny"},{"family":"Kok","given":"Christoffer"},{"family":"Mazelis","given":"Falk"},{"family":"Nikolov","given":"Kalin"},{"family":"Rancoita","given":"Elena"},{"family":"Van Der Ghote","given":"Alejandro"},{"family":"Weber","given":"Julien"}],"accessed":{"date-parts":[["2023",8,9]]},"issued":{"date-parts":[["2021",6]]}}}],"schema":"https://github.com/citation-style-language/schema/raw/master/csl-citation.json"} </w:instrText>
      </w:r>
      <w:r w:rsidR="00913BB2" w:rsidRPr="00913BB2">
        <w:rPr>
          <w:color w:val="0081AD"/>
        </w:rPr>
        <w:fldChar w:fldCharType="separate"/>
      </w:r>
      <w:r w:rsidR="00913BB2" w:rsidRPr="00913BB2">
        <w:rPr>
          <w:rFonts w:ascii="Utopia" w:hAnsi="Utopia"/>
          <w:color w:val="0081AD"/>
        </w:rPr>
        <w:t>Cozzi et al. (2021)</w:t>
      </w:r>
      <w:r w:rsidR="00913BB2" w:rsidRPr="00913BB2">
        <w:rPr>
          <w:color w:val="0081AD"/>
        </w:rPr>
        <w:fldChar w:fldCharType="end"/>
      </w:r>
      <w:r w:rsidR="00913BB2">
        <w:t xml:space="preserve"> </w:t>
      </w:r>
      <w:r w:rsidR="005D5553" w:rsidRPr="004D06BA">
        <w:t>analyze the role of bank leverage in shaping the responses of inflation and output to monetary policy shocks, finding comparable effects across different leverage ratios.</w:t>
      </w:r>
      <w:r w:rsidR="00A2521D">
        <w:t xml:space="preserve"> </w:t>
      </w:r>
      <w:r w:rsidR="003B31FA" w:rsidRPr="008E2B36">
        <w:t>These findings suggest that any gains from the coordination of monetary and macroprudential policy are likely to be small</w:t>
      </w:r>
      <w:r w:rsidR="003B31FA">
        <w:t>.</w:t>
      </w:r>
      <w:r w:rsidR="003B31FA" w:rsidRPr="003C31AE">
        <w:rPr>
          <w:rStyle w:val="FootnoteReference"/>
        </w:rPr>
        <w:footnoteReference w:id="3"/>
      </w:r>
      <w:r w:rsidR="003B31FA" w:rsidRPr="008E2B36">
        <w:t xml:space="preserve"> </w:t>
      </w:r>
    </w:p>
    <w:p w14:paraId="21F605DC" w14:textId="77777777" w:rsidR="00122BB6" w:rsidRPr="00122BB6" w:rsidRDefault="00122BB6" w:rsidP="00122BB6">
      <w:pPr>
        <w:bidi w:val="0"/>
        <w:jc w:val="both"/>
        <w:rPr>
          <w:sz w:val="24"/>
          <w:szCs w:val="24"/>
          <w:lang w:bidi="ar-SA"/>
        </w:rPr>
      </w:pPr>
      <w:r w:rsidRPr="00122BB6">
        <w:rPr>
          <w:sz w:val="24"/>
          <w:szCs w:val="24"/>
          <w:lang w:bidi="ar-SA"/>
        </w:rPr>
        <w:t>The interaction between macroprudential policies and the transmission of monetary policy to housing prices has been a key factor influencing policy decisions in Israel in recent years. Most mortgage-related macroprudential measures were introduced between 2010 and 2014.</w:t>
      </w:r>
    </w:p>
    <w:p w14:paraId="0B9A409C" w14:textId="0E0980EB" w:rsidR="003B31FA" w:rsidRDefault="009557AC" w:rsidP="009557AC">
      <w:pPr>
        <w:bidi w:val="0"/>
        <w:jc w:val="both"/>
        <w:rPr>
          <w:rFonts w:ascii="Utopia" w:hAnsi="Utopia"/>
          <w:color w:val="000000"/>
        </w:rPr>
      </w:pPr>
      <w:r w:rsidRPr="009557AC">
        <w:rPr>
          <w:rFonts w:ascii="Utopia" w:hAnsi="Utopia"/>
          <w:color w:val="000000"/>
          <w:sz w:val="24"/>
          <w:szCs w:val="24"/>
          <w:lang w:bidi="ar-SA"/>
        </w:rPr>
        <w:t>An important regulatory measure concerns the proportion of variable interest rate components within total mortgage structures.</w:t>
      </w:r>
      <w:r>
        <w:rPr>
          <w:rFonts w:ascii="Utopia" w:hAnsi="Utopia"/>
          <w:color w:val="000000"/>
        </w:rPr>
        <w:t xml:space="preserve"> </w:t>
      </w:r>
      <w:r w:rsidR="003B31FA" w:rsidRPr="009557AC">
        <w:rPr>
          <w:rFonts w:ascii="Utopia" w:hAnsi="Utopia"/>
          <w:color w:val="000000"/>
          <w:sz w:val="24"/>
          <w:szCs w:val="24"/>
          <w:lang w:bidi="ar-SA"/>
        </w:rPr>
        <w:t>Since variable rates are directly tied to the Bank of Israel’s policy rate, restricting their proportion may dampen the transmission of monetary policy to mortgage rates and, consequently, to housing demand. At the same time, such a measure enhances the flexibility of monetary policymakers to employ interest rate instruments in pursuit of broader policy objectives.</w:t>
      </w:r>
    </w:p>
    <w:p w14:paraId="7737953E" w14:textId="489E95CB" w:rsidR="00AC516D" w:rsidRDefault="00AC516D" w:rsidP="00AC516D">
      <w:pPr>
        <w:pStyle w:val="BodyText"/>
      </w:pPr>
      <w:r w:rsidRPr="00AC516D">
        <w:t xml:space="preserve">For example, during periods requiring expansionary monetary policy—such as reductions in the policy interest rate—restrictions on the share of variable-rate mortgage components can help mitigate upward pressure on housing prices (Bank of Israel Reports, 2010–2015). Conversely, when the policy objective is to restrain excessive credit growth and rising housing prices, macroprudential supervisory tools in the mortgage market are employed to achieve these </w:t>
      </w:r>
      <w:r>
        <w:t>goals</w:t>
      </w:r>
      <w:r w:rsidRPr="00AC516D">
        <w:t>.</w:t>
      </w:r>
    </w:p>
    <w:p w14:paraId="6AA69CB2" w14:textId="54D71EC8" w:rsidR="003B31FA" w:rsidRDefault="006A505D" w:rsidP="00256B02">
      <w:pPr>
        <w:bidi w:val="0"/>
        <w:jc w:val="both"/>
      </w:pPr>
      <w:r w:rsidRPr="006A505D">
        <w:rPr>
          <w:sz w:val="24"/>
          <w:szCs w:val="24"/>
          <w:lang w:bidi="ar-SA"/>
        </w:rPr>
        <w:t xml:space="preserve">Another justification for restricting the share of variable-rate mortgage components is that variable-rate mortgage tracks—particularly those with maturities of up to five years and those linked to the prime rate—tend to </w:t>
      </w:r>
      <w:r w:rsidRPr="006A505D">
        <w:rPr>
          <w:sz w:val="24"/>
          <w:szCs w:val="24"/>
          <w:lang w:bidi="ar-SA"/>
        </w:rPr>
        <w:lastRenderedPageBreak/>
        <w:t>exhibit greater volatility in monthly repayments and are therefore associated with a higher risk of default.</w:t>
      </w:r>
      <w:r w:rsidR="00256B02">
        <w:rPr>
          <w:sz w:val="24"/>
          <w:szCs w:val="24"/>
          <w:lang w:bidi="ar-SA"/>
        </w:rPr>
        <w:t xml:space="preserve"> </w:t>
      </w:r>
      <w:r w:rsidR="003B31FA" w:rsidRPr="00256B02">
        <w:rPr>
          <w:sz w:val="24"/>
          <w:szCs w:val="24"/>
          <w:lang w:bidi="ar-SA"/>
        </w:rPr>
        <w:t>According to the Bank of Israel’s 2012 Report, restrictions on the loan-to-value (LTV) ratio are designed to mitigate default risk and strengthen the resilience of the banking system. Moreover, such measures attenuate the transmission of monetary policy to mortgage and housing demand, thereby granting policymakers greater flexibility in adjusting the policy interest rate to achieve the central bank’s core objectives with a reduced impact on the housing market.</w:t>
      </w:r>
    </w:p>
    <w:p w14:paraId="19B48736" w14:textId="3DAFFEA7" w:rsidR="00690E41" w:rsidRDefault="003B31FA" w:rsidP="00063E1C">
      <w:pPr>
        <w:pStyle w:val="BodyText"/>
      </w:pPr>
      <w:r w:rsidRPr="002C7423">
        <w:t xml:space="preserve">This rationale </w:t>
      </w:r>
      <w:r w:rsidRPr="00761F5E">
        <w:t xml:space="preserve">underlies </w:t>
      </w:r>
      <w:r w:rsidRPr="002C7423">
        <w:t>our distinction between fixed- and variable-rate mortgages and guides our examination of the influence of macroprudential tools on monetary policy transmission</w:t>
      </w:r>
      <w:r>
        <w:t xml:space="preserve">. </w:t>
      </w:r>
      <w:r w:rsidR="008211E0">
        <w:t xml:space="preserve"> We examine all these issues in Section </w:t>
      </w:r>
      <w:r w:rsidR="00063E1C">
        <w:t>6</w:t>
      </w:r>
      <w:r w:rsidR="008211E0">
        <w:t xml:space="preserve"> below. </w:t>
      </w:r>
      <w:r w:rsidR="009D4827" w:rsidRPr="008E2B36">
        <w:t xml:space="preserve"> </w:t>
      </w:r>
    </w:p>
    <w:p w14:paraId="1F2220EF" w14:textId="480EC312" w:rsidR="008E7098" w:rsidRPr="008E7098" w:rsidRDefault="001A66DC" w:rsidP="00523839">
      <w:pPr>
        <w:pStyle w:val="Heading1"/>
      </w:pPr>
      <w:r w:rsidRPr="00F73527">
        <w:t xml:space="preserve">Stylized facts </w:t>
      </w:r>
      <w:r>
        <w:t>of</w:t>
      </w:r>
      <w:r w:rsidRPr="00F73527">
        <w:t xml:space="preserve"> the Israeli housing market</w:t>
      </w:r>
    </w:p>
    <w:p w14:paraId="1272FE39" w14:textId="31871093" w:rsidR="00DE62C2" w:rsidRDefault="001A66DC" w:rsidP="00B43B8A">
      <w:pPr>
        <w:pStyle w:val="BodyText"/>
        <w:rPr>
          <w:rtl/>
          <w:lang w:bidi="he-IL"/>
        </w:rPr>
      </w:pPr>
      <w:r w:rsidRPr="005661E1">
        <w:t xml:space="preserve">In this section, </w:t>
      </w:r>
      <w:bookmarkStart w:id="4" w:name="OLE_LINK30"/>
      <w:r w:rsidRPr="005661E1">
        <w:t>we present important stylized facts of the Israeli housing market</w:t>
      </w:r>
      <w:bookmarkEnd w:id="4"/>
      <w:r w:rsidRPr="005661E1">
        <w:t xml:space="preserve">, which </w:t>
      </w:r>
      <w:r>
        <w:t xml:space="preserve">will serve as </w:t>
      </w:r>
      <w:r w:rsidR="00E431F2">
        <w:t>guidance for</w:t>
      </w:r>
      <w:r>
        <w:t xml:space="preserve"> </w:t>
      </w:r>
      <w:r w:rsidR="00254F16">
        <w:t xml:space="preserve">structuring </w:t>
      </w:r>
      <w:r>
        <w:t>our model, with special attention to policy and housing market structure.</w:t>
      </w:r>
      <w:r w:rsidRPr="007715F2">
        <w:t xml:space="preserve"> </w:t>
      </w:r>
    </w:p>
    <w:p w14:paraId="1EE38260" w14:textId="65586219" w:rsidR="00041606" w:rsidRDefault="001A66DC" w:rsidP="000E5E6E">
      <w:pPr>
        <w:pStyle w:val="BodyText"/>
      </w:pPr>
      <w:r w:rsidRPr="007715F2">
        <w:t>First,</w:t>
      </w:r>
      <w:r>
        <w:t xml:space="preserve"> based on </w:t>
      </w:r>
      <w:r w:rsidRPr="007715F2">
        <w:t>Fig.</w:t>
      </w:r>
      <w:r>
        <w:t xml:space="preserve"> </w:t>
      </w:r>
      <w:r w:rsidRPr="007715F2">
        <w:t xml:space="preserve">1 we note that </w:t>
      </w:r>
      <w:r w:rsidRPr="005661E1">
        <w:t xml:space="preserve">there are significant disparities in home ownership rates across different income </w:t>
      </w:r>
      <w:r w:rsidR="00913BB2">
        <w:t>quantities</w:t>
      </w:r>
      <w:r w:rsidRPr="005661E1">
        <w:t>.</w:t>
      </w:r>
      <w:r w:rsidRPr="007715F2">
        <w:t xml:space="preserve"> For the lowest (poorest) income </w:t>
      </w:r>
      <w:r w:rsidR="00C0635F">
        <w:t>quintile</w:t>
      </w:r>
      <w:r w:rsidRPr="007715F2">
        <w:t>, only</w:t>
      </w:r>
      <w:r w:rsidR="00FB1CF1">
        <w:t xml:space="preserve"> </w:t>
      </w:r>
      <w:r w:rsidR="000E5E6E">
        <w:t xml:space="preserve">around </w:t>
      </w:r>
      <w:r w:rsidR="00637855" w:rsidRPr="00FE2167">
        <w:t>5</w:t>
      </w:r>
      <w:r w:rsidR="000E5E6E" w:rsidRPr="00FE2167">
        <w:t>0</w:t>
      </w:r>
      <w:r w:rsidR="00FB1CF1" w:rsidRPr="00FE2167">
        <w:t>%</w:t>
      </w:r>
      <w:r w:rsidR="00FB1CF1">
        <w:t xml:space="preserve"> </w:t>
      </w:r>
      <w:r w:rsidRPr="007715F2">
        <w:t xml:space="preserve">of households are homeowners. This is </w:t>
      </w:r>
      <w:bookmarkStart w:id="5" w:name="OLE_LINK20"/>
      <w:r w:rsidR="00DB1C34">
        <w:t>probably</w:t>
      </w:r>
      <w:r w:rsidRPr="007715F2">
        <w:t xml:space="preserve"> due to </w:t>
      </w:r>
      <w:bookmarkEnd w:id="5"/>
      <w:r w:rsidRPr="007715F2">
        <w:t>financial constraints, as evident by the small share of mortgages (</w:t>
      </w:r>
      <w:r>
        <w:t>14</w:t>
      </w:r>
      <w:r w:rsidRPr="007715F2">
        <w:t xml:space="preserve">%) for the lowest income </w:t>
      </w:r>
      <w:r w:rsidR="00C0635F">
        <w:t>quintile</w:t>
      </w:r>
      <w:r>
        <w:t>.</w:t>
      </w:r>
      <w:r w:rsidRPr="003C31AE">
        <w:rPr>
          <w:rStyle w:val="FootnoteReference"/>
        </w:rPr>
        <w:footnoteReference w:id="4"/>
      </w:r>
      <w:r>
        <w:t xml:space="preserve"> </w:t>
      </w:r>
    </w:p>
    <w:p w14:paraId="1C8021AF" w14:textId="54917003" w:rsidR="00386A9E" w:rsidRDefault="001A66DC" w:rsidP="00B43B8A">
      <w:pPr>
        <w:pStyle w:val="BodyText"/>
      </w:pPr>
      <w:bookmarkStart w:id="6" w:name="OLE_LINK33"/>
      <w:r w:rsidRPr="003144DD">
        <w:t xml:space="preserve">In contrast, </w:t>
      </w:r>
      <w:r w:rsidR="000E5E6E">
        <w:t xml:space="preserve">almost </w:t>
      </w:r>
      <w:r w:rsidR="000E5E6E" w:rsidRPr="00AC4916">
        <w:t>9</w:t>
      </w:r>
      <w:r w:rsidRPr="00AC4916">
        <w:t>0%</w:t>
      </w:r>
      <w:r w:rsidRPr="003144DD">
        <w:t xml:space="preserve"> of </w:t>
      </w:r>
      <w:r>
        <w:t>households</w:t>
      </w:r>
      <w:r w:rsidRPr="003144DD">
        <w:t xml:space="preserve"> </w:t>
      </w:r>
      <w:r w:rsidR="000E5E6E" w:rsidRPr="003144DD">
        <w:t>with</w:t>
      </w:r>
      <w:r w:rsidRPr="003144DD">
        <w:t xml:space="preserve"> the highest (</w:t>
      </w:r>
      <w:r w:rsidR="00B43B8A">
        <w:t>wealthi</w:t>
      </w:r>
      <w:r w:rsidRPr="003144DD">
        <w:t xml:space="preserve">est) income </w:t>
      </w:r>
      <w:r w:rsidR="000E5E6E">
        <w:t>quintile</w:t>
      </w:r>
      <w:r w:rsidR="000E5E6E" w:rsidRPr="003144DD">
        <w:t xml:space="preserve"> </w:t>
      </w:r>
      <w:r w:rsidRPr="003144DD">
        <w:t>are homeowners</w:t>
      </w:r>
      <w:r>
        <w:t xml:space="preserve">. Among them, only 33% have </w:t>
      </w:r>
      <w:r w:rsidRPr="003144DD">
        <w:t>mortgages</w:t>
      </w:r>
      <w:r>
        <w:t xml:space="preserve">, indicating that most of them finance their </w:t>
      </w:r>
      <w:r w:rsidR="00B43B8A">
        <w:t xml:space="preserve">homes </w:t>
      </w:r>
      <w:r>
        <w:t xml:space="preserve">with their own resources. </w:t>
      </w:r>
      <w:r w:rsidRPr="005661E1">
        <w:t xml:space="preserve">It is worth noting that about 15% of </w:t>
      </w:r>
      <w:r w:rsidR="00B43B8A">
        <w:t>wealthy</w:t>
      </w:r>
      <w:r w:rsidR="00B43B8A" w:rsidRPr="005661E1">
        <w:t xml:space="preserve"> </w:t>
      </w:r>
      <w:r w:rsidRPr="005661E1">
        <w:t xml:space="preserve">households choose to rent </w:t>
      </w:r>
      <w:r w:rsidR="00B43B8A">
        <w:t>their dwellings</w:t>
      </w:r>
      <w:r w:rsidR="000E5E6E">
        <w:t xml:space="preserve"> (</w:t>
      </w:r>
      <w:r w:rsidR="000E5E6E" w:rsidRPr="00FB34C0">
        <w:t>not</w:t>
      </w:r>
      <w:r w:rsidR="00FB34C0" w:rsidRPr="00FB34C0">
        <w:t xml:space="preserve"> shown</w:t>
      </w:r>
      <w:r w:rsidR="000E5E6E" w:rsidRPr="00FB34C0">
        <w:t xml:space="preserve"> in figures</w:t>
      </w:r>
      <w:r w:rsidR="000E5E6E">
        <w:t>)</w:t>
      </w:r>
      <w:r w:rsidRPr="005661E1">
        <w:t>, which can be interpreted as a revealed preference rather than a financial constraint.</w:t>
      </w:r>
      <w:r w:rsidR="00EC6CB5">
        <w:t xml:space="preserve"> </w:t>
      </w:r>
    </w:p>
    <w:p w14:paraId="28917BDC" w14:textId="00C59E55" w:rsidR="00015D35" w:rsidRDefault="00015D35" w:rsidP="0041150E">
      <w:pPr>
        <w:pStyle w:val="BodyText"/>
      </w:pPr>
      <w:r w:rsidRPr="00015D35">
        <w:t>The substantial gaps in homeownership and mortgage usage across income quintiles motivate our two-household framework and support the interpretation that binding collateral (LTV) constraints—rather than preference heterogeneity—are the primary drivers of tenure choice in Israel. In practice, this justifies treating the LTV constraint as binding for a significant share of new homeowner households, as will be discussed in greater detail in the model.</w:t>
      </w:r>
    </w:p>
    <w:p w14:paraId="0217BD3D" w14:textId="6A53B5F3" w:rsidR="00063514" w:rsidRDefault="00063514" w:rsidP="00BB5AE0">
      <w:pPr>
        <w:pStyle w:val="BodyText"/>
      </w:pPr>
      <w:r w:rsidRPr="00063514">
        <w:t>Analytically, Proposition 1 (Section 4.</w:t>
      </w:r>
      <w:r w:rsidR="00BB5AE0">
        <w:t>3</w:t>
      </w:r>
      <w:r w:rsidRPr="00063514">
        <w:t xml:space="preserve">) shows that a tightening of macroprudential policy reduces the steady-state ownership-to-rent ratio </w:t>
      </w:r>
      <w:r w:rsidRPr="00063514">
        <w:lastRenderedPageBreak/>
        <w:t>among borrower (financially constrained) households, while leaving the ownership-to-rent ratio of lender (financially unconstrained) households unaffected.</w:t>
      </w:r>
    </w:p>
    <w:p w14:paraId="7BA00478" w14:textId="5767B0DB" w:rsidR="00870901" w:rsidRDefault="001A66DC" w:rsidP="00E92B72">
      <w:pPr>
        <w:pStyle w:val="BodyText"/>
      </w:pPr>
      <w:bookmarkStart w:id="7" w:name="OLE_LINK5"/>
      <w:r>
        <w:t>T</w:t>
      </w:r>
      <w:r w:rsidRPr="008E2B36">
        <w:t xml:space="preserve">he data </w:t>
      </w:r>
      <w:r>
        <w:t>also show</w:t>
      </w:r>
      <w:r w:rsidRPr="008E2B36">
        <w:t xml:space="preserve"> that wealthy (high-income) households own, on average, one or more </w:t>
      </w:r>
      <w:r>
        <w:t>dwellings</w:t>
      </w:r>
      <w:r w:rsidRPr="008E2B36">
        <w:t xml:space="preserve"> (Fig. </w:t>
      </w:r>
      <w:r w:rsidR="000E5E6E">
        <w:t>1</w:t>
      </w:r>
      <w:r w:rsidRPr="008E2B36">
        <w:t xml:space="preserve">). We thus conclude that they are the "investors" in the housing market, supplying rental dwellings to the market. This is one of the unique </w:t>
      </w:r>
      <w:r>
        <w:t>features</w:t>
      </w:r>
      <w:r w:rsidRPr="008E2B36">
        <w:t xml:space="preserve"> of the Israeli housing market, and we incorporate it into the model</w:t>
      </w:r>
      <w:bookmarkEnd w:id="7"/>
      <w:r w:rsidR="00E92B72">
        <w:t xml:space="preserve">: </w:t>
      </w:r>
      <w:r w:rsidR="00870901" w:rsidRPr="008E7098">
        <w:t>modeling of lenders as real estate investors</w:t>
      </w:r>
      <w:r w:rsidR="00E92B72">
        <w:t>.</w:t>
      </w:r>
      <w:r w:rsidR="00870901" w:rsidRPr="008E7098">
        <w:t xml:space="preserve"> </w:t>
      </w:r>
      <w:r w:rsidR="00E92B72">
        <w:t xml:space="preserve">It </w:t>
      </w:r>
      <w:r w:rsidR="00870901" w:rsidRPr="008E7098">
        <w:t>is central to our explanation of why tighter LTV policy affects quantities more than prices.</w:t>
      </w:r>
    </w:p>
    <w:p w14:paraId="33718586" w14:textId="10FBC8EA" w:rsidR="00DE62C2" w:rsidRDefault="001A66DC" w:rsidP="00637855">
      <w:pPr>
        <w:pStyle w:val="Caption"/>
        <w:rPr>
          <w:rFonts w:cstheme="minorBidi"/>
          <w:rtl/>
          <w:lang w:bidi="he-IL"/>
        </w:rPr>
      </w:pPr>
      <w:bookmarkStart w:id="8" w:name="OLE_LINK22"/>
      <w:bookmarkEnd w:id="6"/>
      <w:r w:rsidRPr="00A93DB0">
        <w:rPr>
          <w:color w:val="3333B3"/>
        </w:rPr>
        <w:t xml:space="preserve">Figure </w:t>
      </w:r>
      <w:r w:rsidR="00637855">
        <w:rPr>
          <w:color w:val="3333B3"/>
        </w:rPr>
        <w:t>1</w:t>
      </w:r>
      <w:r w:rsidRPr="00A93DB0">
        <w:rPr>
          <w:color w:val="3333B3"/>
        </w:rPr>
        <w:t xml:space="preserve">: </w:t>
      </w:r>
      <w:bookmarkStart w:id="9" w:name="OLE_LINK3"/>
      <w:r w:rsidRPr="00A93DB0">
        <w:t xml:space="preserve">Share of households </w:t>
      </w:r>
      <w:r w:rsidR="000E5E6E" w:rsidRPr="00A93DB0">
        <w:t>with</w:t>
      </w:r>
      <w:r w:rsidR="000E5E6E">
        <w:rPr>
          <w:rFonts w:cstheme="minorBidi" w:hint="cs"/>
          <w:rtl/>
          <w:lang w:bidi="he-IL"/>
        </w:rPr>
        <w:t xml:space="preserve"> </w:t>
      </w:r>
      <w:r w:rsidR="000E5E6E">
        <w:rPr>
          <w:rFonts w:cstheme="minorBidi"/>
          <w:lang w:bidi="he-IL"/>
        </w:rPr>
        <w:t>ownership</w:t>
      </w:r>
      <w:r w:rsidR="00637855">
        <w:rPr>
          <w:rFonts w:cstheme="minorBidi"/>
          <w:lang w:bidi="he-IL"/>
        </w:rPr>
        <w:t xml:space="preserve"> and with </w:t>
      </w:r>
      <w:r w:rsidRPr="00A93DB0">
        <w:t>mortgages</w:t>
      </w:r>
      <w:bookmarkEnd w:id="9"/>
      <w:r w:rsidRPr="00A93DB0">
        <w:t xml:space="preserve"> by income </w:t>
      </w:r>
      <w:bookmarkStart w:id="10" w:name="OLE_LINK2"/>
      <w:r w:rsidR="00C0635F">
        <w:t xml:space="preserve">quintile </w:t>
      </w:r>
      <w:bookmarkEnd w:id="10"/>
      <w:r>
        <w:t xml:space="preserve">(left y-axis), and Number </w:t>
      </w:r>
      <w:r w:rsidRPr="00F72EB6">
        <w:t xml:space="preserve">of </w:t>
      </w:r>
      <w:bookmarkStart w:id="11" w:name="OLE_LINK28"/>
      <w:r w:rsidR="00B43B8A">
        <w:t>dwellings per</w:t>
      </w:r>
      <w:r>
        <w:t xml:space="preserve"> household</w:t>
      </w:r>
      <w:r w:rsidRPr="00F72EB6">
        <w:t xml:space="preserve"> </w:t>
      </w:r>
      <w:bookmarkEnd w:id="11"/>
      <w:r w:rsidRPr="00F72EB6">
        <w:t xml:space="preserve">by income </w:t>
      </w:r>
      <w:r w:rsidR="00C0635F">
        <w:t xml:space="preserve">quintile </w:t>
      </w:r>
      <w:r>
        <w:t>(right y-axis)</w:t>
      </w:r>
      <w:r w:rsidRPr="00F72EB6">
        <w:t xml:space="preserve"> (2018)</w:t>
      </w:r>
      <w:bookmarkEnd w:id="8"/>
    </w:p>
    <w:p w14:paraId="251C30D6" w14:textId="1893F37E" w:rsidR="00A6687C" w:rsidRPr="00637855" w:rsidRDefault="00637855" w:rsidP="00637855">
      <w:pPr>
        <w:pStyle w:val="Caption"/>
        <w:rPr>
          <w:rFonts w:cstheme="minorBidi"/>
          <w:lang w:bidi="he-IL"/>
        </w:rPr>
      </w:pPr>
      <w:r>
        <w:rPr>
          <w:noProof/>
          <w:lang w:bidi="he-IL"/>
        </w:rPr>
        <w:drawing>
          <wp:inline distT="0" distB="0" distL="0" distR="0" wp14:anchorId="583130FE" wp14:editId="4F64617C">
            <wp:extent cx="5274310" cy="2966720"/>
            <wp:effectExtent l="0" t="0" r="2540" b="5080"/>
            <wp:docPr id="354372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hq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458A3C56" w14:textId="765C105D" w:rsidR="00DE62C2" w:rsidRPr="004F4DDA" w:rsidRDefault="001A66DC" w:rsidP="00EC7FDA">
      <w:pPr>
        <w:pStyle w:val="Caption"/>
        <w:jc w:val="left"/>
        <w:rPr>
          <w:lang w:bidi="he-IL"/>
        </w:rPr>
      </w:pPr>
      <w:r w:rsidRPr="00D1109C">
        <w:t>Source:</w:t>
      </w:r>
      <w:r w:rsidR="00A6687C">
        <w:t xml:space="preserve"> </w:t>
      </w:r>
      <w:r w:rsidR="00A6687C" w:rsidRPr="00A6687C">
        <w:t>Author</w:t>
      </w:r>
      <w:r w:rsidR="00A6687C" w:rsidRPr="00A6687C">
        <w:rPr>
          <w:rFonts w:ascii="Utopia" w:hAnsi="Utopia"/>
        </w:rPr>
        <w:t>’</w:t>
      </w:r>
      <w:r w:rsidR="00A6687C" w:rsidRPr="00A6687C">
        <w:t>s Analyses based on</w:t>
      </w:r>
      <w:r>
        <w:t xml:space="preserve"> </w:t>
      </w:r>
      <w:r>
        <w:fldChar w:fldCharType="begin"/>
      </w:r>
      <w:r w:rsidR="00EC7FDA">
        <w:instrText xml:space="preserve"> ADDIN ZOTERO_ITEM CSL_CITATION {"citationID":"SyLstVux","properties":{"formattedCitation":"Stein-Kapach (2019)","plainCitation":"Stein-Kapach (2019)","noteIndex":0},"citationItems":[{"id":1666,"uris":["http://zotero.org/users/6680486/items/R8GG2A2S"],"itemData":{"id":1666,"type":"report","citation-key":"stein-kapachOwnershipFinancialAssets2019","note":"</w:instrText>
      </w:r>
      <w:r w:rsidR="00EC7FDA">
        <w:rPr>
          <w:rFonts w:cs="Times New Roman"/>
          <w:rtl/>
          <w:lang w:bidi="he-IL"/>
        </w:rPr>
        <w:instrText>בעלות על נכסים פיננסיים של משקי בית - ממצאים מתוך סקר ארוך טווח 2</w:instrText>
      </w:r>
      <w:r w:rsidR="00EC7FDA">
        <w:instrText xml:space="preserve">","publisher":"Central Bureau of Statistics","title":"Ownership of Financial Assets by Households Findings from the Longitudinal Survey 2018 (Hebrew only)","author":[{"family":"Stein-Kapach","given":"Nardit"}],"issued":{"date-parts":[["2019",10,12]]}}}],"schema":"https://github.com/citation-style-language/schema/raw/master/csl-citation.json"} </w:instrText>
      </w:r>
      <w:r>
        <w:fldChar w:fldCharType="separate"/>
      </w:r>
      <w:r w:rsidR="00EC7FDA" w:rsidRPr="00EC7FDA">
        <w:rPr>
          <w:rFonts w:ascii="Utopia" w:hAnsi="Utopia"/>
        </w:rPr>
        <w:t>Stein-Kapach (2019)</w:t>
      </w:r>
      <w:r>
        <w:fldChar w:fldCharType="end"/>
      </w:r>
      <w:r w:rsidR="00386A9E">
        <w:rPr>
          <w:lang w:bidi="he-IL"/>
        </w:rPr>
        <w:t xml:space="preserve"> and  </w:t>
      </w:r>
      <w:r w:rsidR="00386A9E">
        <w:fldChar w:fldCharType="begin"/>
      </w:r>
      <w:r w:rsidR="00EC7FDA">
        <w:instrText xml:space="preserve"> ADDIN ZOTERO_ITEM CSL_CITATION {"citationID":"CSXwmVA7","properties":{"formattedCitation":"Kosman (2021)","plainCitation":"Kosman (2021)","noteIndex":0},"citationItems":[{"id":1620,"uris":["http://zotero.org/users/6680486/items/9NDUJZAG"],"itemData":{"id":1620,"type":"report","citation-key":"HousingOwnershipIsrael2021Kosman","note":"</w:instrText>
      </w:r>
      <w:r w:rsidR="00EC7FDA">
        <w:rPr>
          <w:rFonts w:cs="Times New Roman"/>
          <w:rtl/>
          <w:lang w:bidi="he-IL"/>
        </w:rPr>
        <w:instrText>נתוני בעלות על דירות לפי עשירוני הכנסה</w:instrText>
      </w:r>
      <w:r w:rsidR="00EC7FDA">
        <w:instrText>\n</w:instrText>
      </w:r>
      <w:r w:rsidR="00EC7FDA">
        <w:rPr>
          <w:rFonts w:cs="Times New Roman"/>
          <w:rtl/>
          <w:lang w:bidi="he-IL"/>
        </w:rPr>
        <w:instrText>לירן קוסמן</w:instrText>
      </w:r>
      <w:r w:rsidR="00EC7FDA">
        <w:instrText xml:space="preserve">","publisher":"The Knesset Research and Information Center, Israel","title":"Housing Ownership Data by Deciles in Israel","author":[{"family":"Kosman","given":"Liran"}],"issued":{"date-parts":[["2021",10]]}}}],"schema":"https://github.com/citation-style-language/schema/raw/master/csl-citation.json"} </w:instrText>
      </w:r>
      <w:r w:rsidR="00386A9E">
        <w:fldChar w:fldCharType="separate"/>
      </w:r>
      <w:r w:rsidR="00EC7FDA" w:rsidRPr="00EC7FDA">
        <w:rPr>
          <w:rFonts w:ascii="Utopia" w:hAnsi="Utopia"/>
        </w:rPr>
        <w:t>Kosman (2021)</w:t>
      </w:r>
      <w:r w:rsidR="00386A9E">
        <w:fldChar w:fldCharType="end"/>
      </w:r>
    </w:p>
    <w:p w14:paraId="4DC1D79E" w14:textId="2EC230A6" w:rsidR="00440764" w:rsidRPr="0041150E" w:rsidRDefault="00440764" w:rsidP="0041150E">
      <w:pPr>
        <w:pStyle w:val="BodyText"/>
      </w:pPr>
      <w:r w:rsidRPr="00440764">
        <w:t>The foregoing discussion highlights a key issue concerning Israel’s loan-to-value (LTV) ratio. Empirical evidence indicates that the average LTV ratio in Israel is low relative to other advanced economies (</w:t>
      </w:r>
      <w:r w:rsidR="00913BB2" w:rsidRPr="00763080">
        <w:rPr>
          <w:color w:val="0081AD"/>
        </w:rPr>
        <w:fldChar w:fldCharType="begin"/>
      </w:r>
      <w:r w:rsidR="00CC404B">
        <w:rPr>
          <w:color w:val="0081AD"/>
        </w:rPr>
        <w:instrText xml:space="preserve"> ADDIN ZOTERO_ITEM CSL_CITATION {"citationID":"XMPm9L5L","properties":{"unsorted":false,"formattedCitation":"Laufer and Tzur-Ilan (2021)","plainCitation":"Laufer and Tzur-Ilan (2021)","noteIndex":0},"citationItems":[{"id":2455,"uris":["http://zotero.org/users/6680486/items/DV7PGXP4"],"itemData":{"id":2455,"type":"article-journal","citation-key":"lauferEffectLTVbasedRisk2021","container-title":"Journal of Urban Economics","DOI":"10.1016/j.jue.2021.103349","ISSN":"00941190","journalAbbreviation":"Journal of Urban Economics","language":"en","page":"103349","source":"DOI.org (Crossref)","title":"The effect of LTV-based risk weights on house prices: Evidence from an Israeli macroprudential policy","title-short":"The effect of LTV-based risk weights on house prices","volume":"124","author":[{"family":"Laufer","given":"Steven"},{"family":"Tzur-Ilan","given":"Nitzan"}],"issued":{"date-parts":[["2021",7]]}}}],"schema":"https://github.com/citation-style-language/schema/raw/master/csl-citation.json"} </w:instrText>
      </w:r>
      <w:r w:rsidR="00913BB2" w:rsidRPr="00763080">
        <w:rPr>
          <w:color w:val="0081AD"/>
        </w:rPr>
        <w:fldChar w:fldCharType="separate"/>
      </w:r>
      <w:r w:rsidR="00913BB2" w:rsidRPr="00763080">
        <w:rPr>
          <w:rFonts w:ascii="Utopia" w:hAnsi="Utopia"/>
          <w:color w:val="0081AD"/>
        </w:rPr>
        <w:t>Laufer and Tzur-Ilan (2021)</w:t>
      </w:r>
      <w:r w:rsidR="00913BB2" w:rsidRPr="00763080">
        <w:rPr>
          <w:color w:val="0081AD"/>
        </w:rPr>
        <w:fldChar w:fldCharType="end"/>
      </w:r>
      <w:r w:rsidRPr="00440764">
        <w:t>). In addition, the ratio has been substantially affected by macroprudential measures introduced from approximately 2010 onward (</w:t>
      </w:r>
      <w:r w:rsidR="00913BB2" w:rsidRPr="00CE222B">
        <w:rPr>
          <w:color w:val="0081AD"/>
        </w:rPr>
        <w:fldChar w:fldCharType="begin"/>
      </w:r>
      <w:r w:rsidR="00CC404B">
        <w:rPr>
          <w:color w:val="0081AD"/>
        </w:rPr>
        <w:instrText xml:space="preserve"> ADDIN ZOTERO_ITEM CSL_CITATION {"citationID":"CcfrJKy3","properties":{"unsorted":false,"formattedCitation":"Benchimol et al. (2022)","plainCitation":"Benchimol et al. (2022)","noteIndex":0},"citationItems":[{"id":1843,"uris":["http://zotero.org/users/6680486/items/CVLI9KMY"],"itemData":{"id":1843,"type":"article-journal","abstract":"The global ﬁnancial crisis (GFC) triggered the use of macroprudential policies imposed on the banking sector. Using bank-level panel data for Israel for the period 2004–2019, we ﬁnd that domestic macroprudential measures changed the composition of bank credit growth but did not affect the total credit growth rate. Speciﬁcally, we show that macroprudential measures targeted at the housing sector moderated housing credit growth but tended to increase business credit growth. We also ﬁnd that accommodative monetary policy surprises tended to increase bank credit growth before the GFC. We show that accommodative monetary policy surprises increased consumer credit when interacting with macroprudential policies targeting the housing market. Accommodative monetary policy interacted with nonhousing macroprudential measures to increase total credit.","citation-key":"benchimolInteractionDomesticMonetary2022","container-title":"Economic Modelling","DOI":"10.1016/j.econmod.2022.105872","ISSN":"02649993","journalAbbreviation":"Economic Modelling","language":"en","page":"105872","source":"DOI.org (Crossref)","title":"The interaction between domestic monetary policy and macroprudential policy in Israel","volume":"112","author":[{"family":"Benchimol","given":"Jonathan"},{"family":"Gamrasni","given":"Inon"},{"family":"Kahn","given":"Michael"},{"family":"Ribon","given":"Sigal"},{"family":"Saadon","given":"Yossi"},{"family":"Ben-Ze’ev","given":"Noam"},{"family":"Segal","given":"Asaf"},{"family":"Shizgal","given":"Yitzchak"}],"issued":{"date-parts":[["2022",7]]}}}],"schema":"https://github.com/citation-style-language/schema/raw/master/csl-citation.json"} </w:instrText>
      </w:r>
      <w:r w:rsidR="00913BB2" w:rsidRPr="00CE222B">
        <w:rPr>
          <w:color w:val="0081AD"/>
        </w:rPr>
        <w:fldChar w:fldCharType="separate"/>
      </w:r>
      <w:r w:rsidR="00913BB2" w:rsidRPr="00CE222B">
        <w:rPr>
          <w:rFonts w:ascii="Utopia" w:hAnsi="Utopia"/>
          <w:color w:val="0081AD"/>
        </w:rPr>
        <w:t>Benchimol et al. (2022)</w:t>
      </w:r>
      <w:r w:rsidR="00913BB2" w:rsidRPr="00CE222B">
        <w:rPr>
          <w:color w:val="0081AD"/>
        </w:rPr>
        <w:fldChar w:fldCharType="end"/>
      </w:r>
      <w:r w:rsidRPr="00440764">
        <w:t>). These institutional features render Israel an especially interesting case for investigation, as they raise important questions about the influence of LTV policy on monetary transmission and housing market outcomes.</w:t>
      </w:r>
    </w:p>
    <w:p w14:paraId="318BF975" w14:textId="58C9577E" w:rsidR="001B7894" w:rsidRDefault="001A66DC" w:rsidP="00EC7FDA">
      <w:pPr>
        <w:pStyle w:val="BodyText"/>
      </w:pPr>
      <w:bookmarkStart w:id="12" w:name="OLE_LINK19"/>
      <w:r w:rsidRPr="002C192D">
        <w:t>Data from OECD countries (</w:t>
      </w:r>
      <w:bookmarkStart w:id="13" w:name="OLE_LINK18"/>
      <w:r w:rsidRPr="00173C7B">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{"citationID":"6pEmV8Dt","properties":{"formattedCitation":"Van-Hoenselaar Frank et al. (2021)","plainCitation":"Van-Hoenselaar Frank et al. (2021)","noteIndex":0},"citationItems":[{"id":1607,"uris":["http://zotero.org/users/6680486/items/T8ZTVWAS"],"itemData":{"id":1607,"type":"article","abstract":"The landscapes of housing loan markets vary considerably across OECD countries, reflecting differences in preferences and policy settings. This paper first draws a topography of disparities in mortgage structure, documenting considerable variation across OECD countries in key features such as in use of fixed vs variable interest rates and typical maturities. The paper then discusses policies that can influence these outcomes. It highlights the scope for encouraging inclusive access to housing through tax-and-spending programmes that are neutral between renting and owning rather than through often very costly tax advantages for mortgage borrowing. The paper finally proposes a novel indicator to measure the balance between the rights of borrowers and lenders. Mortgage markets are deepest in countries where the index shows that creditor and borrower rights are balanced rather than severely tilted to one side.","citation-key":"van-hoenselaarfrankMortgageFinanceOECD2021","collection-number":"1693","collection-title":"OECD Economics Department Working Papers","DOI":"10.1787/f97d7fe0-en","language":"en","publisher":"OECD","publisher-place":"Paris","source":"OECD iLibrary","title":"Mortgage finance across OECD countries","URL":"https://www.oecd-ilibrary.org/economics/mortgage-finance-across-oecd-countries_f97d7fe0-en","author":[{"literal":"Van-Hoenselaar Frank"},{"family":"Boris","given":"Cournède"},{"family":"Federica","given":"De Pace"},{"family":"Volker","given":"Ziemann"}],"accessed":{"date-parts":[["2023",8,9]]},"issued":{"date-parts":[["2021",12,14]]}}}],"schema":"https://github.com/citation-style-language/schema/raw/master/csl-citation.json"} </w:instrText>
      </w:r>
      <w:r w:rsidRPr="00173C7B">
        <w:rPr>
          <w:rFonts w:asciiTheme="majorHAnsi" w:hAnsiTheme="majorHAnsi" w:cs="David"/>
          <w:color w:val="0081AD"/>
          <w:lang w:bidi="he-IL"/>
        </w:rPr>
        <w:fldChar w:fldCharType="separate"/>
      </w:r>
      <w:r w:rsidR="00EC7FDA" w:rsidRPr="00D009E8">
        <w:rPr>
          <w:rFonts w:asciiTheme="majorHAnsi" w:hAnsiTheme="majorHAnsi" w:cs="David"/>
          <w:color w:val="0081AD"/>
          <w:lang w:bidi="he-IL"/>
        </w:rPr>
        <w:t>Van-Hoenselaar Frank et al. (2021)</w:t>
      </w:r>
      <w:r w:rsidRPr="00173C7B">
        <w:rPr>
          <w:rFonts w:asciiTheme="majorHAnsi" w:hAnsiTheme="majorHAnsi" w:cs="David"/>
          <w:color w:val="0081AD"/>
          <w:lang w:bidi="he-IL"/>
        </w:rPr>
        <w:fldChar w:fldCharType="end"/>
      </w:r>
      <w:bookmarkEnd w:id="13"/>
      <w:r w:rsidRPr="002C192D">
        <w:t xml:space="preserve">), depicted in Fig. </w:t>
      </w:r>
      <w:r w:rsidR="007322BE">
        <w:t>2</w:t>
      </w:r>
      <w:r w:rsidRPr="002C192D">
        <w:t xml:space="preserve">, show that countries with </w:t>
      </w:r>
      <w:r w:rsidR="00620883">
        <w:t>more permissive</w:t>
      </w:r>
      <w:r w:rsidRPr="002C192D">
        <w:t xml:space="preserve"> LTV restrictions tend to have a higher percentage of homeowners with mortgages (out of total population</w:t>
      </w:r>
      <w:r w:rsidR="00580800">
        <w:t>)</w:t>
      </w:r>
      <w:r w:rsidR="00620883">
        <w:t xml:space="preserve"> on average</w:t>
      </w:r>
      <w:r w:rsidRPr="002C192D">
        <w:t xml:space="preserve">. </w:t>
      </w:r>
      <w:bookmarkEnd w:id="12"/>
      <w:r w:rsidRPr="002C192D">
        <w:t>Additionally, as shown in Fig.</w:t>
      </w:r>
      <w:r w:rsidR="00061030">
        <w:t xml:space="preserve"> </w:t>
      </w:r>
      <w:r w:rsidR="007322BE">
        <w:t>3</w:t>
      </w:r>
      <w:r w:rsidRPr="002C192D">
        <w:t xml:space="preserve">, countries with a higher proportion of homeowners with mortgages tend to have higher mortgage </w:t>
      </w:r>
      <w:r w:rsidRPr="002C192D">
        <w:lastRenderedPageBreak/>
        <w:t>leverage, which constitutes a sizable portion of household debt.</w:t>
      </w:r>
      <w:r w:rsidR="00580800">
        <w:t xml:space="preserve"> The takeaway is that </w:t>
      </w:r>
      <w:r w:rsidR="00580800" w:rsidRPr="002C192D">
        <w:t>as leverage restrictions are relaxed, a larger proportion of households may take out mortgages and become homeowners, resulting in higher overall leverage.</w:t>
      </w:r>
      <w:r w:rsidR="007467A7">
        <w:t xml:space="preserve"> </w:t>
      </w:r>
      <w:r w:rsidR="007467A7" w:rsidRPr="008E7098">
        <w:t>This evidence supports our focus on ownership and leverage responses as the primary transmission channels of LTV policy, rather than home prices.</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9"/>
        <w:gridCol w:w="4137"/>
      </w:tblGrid>
      <w:tr w:rsidR="00285375" w14:paraId="2386DEA4" w14:textId="77777777" w:rsidTr="001B7894">
        <w:tc>
          <w:tcPr>
            <w:tcW w:w="4169" w:type="dxa"/>
          </w:tcPr>
          <w:p w14:paraId="61EDC8F4" w14:textId="2D2BB4B7" w:rsidR="005C3F7A" w:rsidRDefault="001A66DC" w:rsidP="00620883">
            <w:pPr>
              <w:pStyle w:val="Caption"/>
              <w:rPr>
                <w:noProof/>
              </w:rPr>
            </w:pPr>
            <w:r w:rsidRPr="00CB732E">
              <w:rPr>
                <w:color w:val="3333B3"/>
                <w:sz w:val="20"/>
                <w:szCs w:val="16"/>
              </w:rPr>
              <w:t xml:space="preserve">Figure </w:t>
            </w:r>
            <w:r w:rsidR="00B924E3">
              <w:rPr>
                <w:color w:val="3333B3"/>
                <w:sz w:val="20"/>
                <w:szCs w:val="16"/>
              </w:rPr>
              <w:t>3</w:t>
            </w:r>
            <w:r w:rsidRPr="00CB732E">
              <w:rPr>
                <w:color w:val="3333B3"/>
                <w:sz w:val="20"/>
                <w:szCs w:val="16"/>
              </w:rPr>
              <w:t xml:space="preserve">: </w:t>
            </w:r>
            <w:r w:rsidR="00620883" w:rsidRPr="00746A9B">
              <w:rPr>
                <w:sz w:val="20"/>
                <w:szCs w:val="16"/>
              </w:rPr>
              <w:t xml:space="preserve">Share of </w:t>
            </w:r>
            <w:r w:rsidRPr="007467A7">
              <w:rPr>
                <w:sz w:val="20"/>
                <w:szCs w:val="16"/>
              </w:rPr>
              <w:t xml:space="preserve">households </w:t>
            </w:r>
            <w:r>
              <w:rPr>
                <w:sz w:val="20"/>
                <w:szCs w:val="16"/>
              </w:rPr>
              <w:t>with mortgages vs. mortgage leverage (with respect to GDP)</w:t>
            </w:r>
            <w:r w:rsidRPr="00CC21B7">
              <w:rPr>
                <w:noProof/>
              </w:rPr>
              <w:t xml:space="preserve"> </w:t>
            </w:r>
          </w:p>
          <w:p w14:paraId="7A433578" w14:textId="18E326A1" w:rsidR="005C3F7A" w:rsidRDefault="00461351" w:rsidP="005C3F7A">
            <w:pPr>
              <w:pStyle w:val="BodyText"/>
              <w:bidi/>
              <w:rPr>
                <w:rtl/>
                <w:lang w:bidi="he-IL"/>
              </w:rPr>
            </w:pPr>
            <w:r>
              <w:rPr>
                <w:noProof/>
                <w:lang w:bidi="he-IL"/>
              </w:rPr>
              <w:drawing>
                <wp:inline distT="0" distB="0" distL="0" distR="0" wp14:anchorId="5D4D9E5E" wp14:editId="05C1589D">
                  <wp:extent cx="2611929" cy="2936488"/>
                  <wp:effectExtent l="0" t="0" r="0" b="0"/>
                  <wp:docPr id="8542119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3318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2627793" cy="2954324"/>
                          </a:xfrm>
                          <a:prstGeom prst="rect">
                            <a:avLst/>
                          </a:prstGeom>
                        </pic:spPr>
                      </pic:pic>
                    </a:graphicData>
                  </a:graphic>
                </wp:inline>
              </w:drawing>
            </w:r>
          </w:p>
        </w:tc>
        <w:tc>
          <w:tcPr>
            <w:tcW w:w="4137" w:type="dxa"/>
          </w:tcPr>
          <w:p w14:paraId="7F672DF5" w14:textId="01F323E7" w:rsidR="005C3F7A" w:rsidRDefault="001A66DC" w:rsidP="00620883">
            <w:pPr>
              <w:pStyle w:val="Caption"/>
              <w:rPr>
                <w:sz w:val="20"/>
                <w:szCs w:val="16"/>
              </w:rPr>
            </w:pPr>
            <w:r w:rsidRPr="00CB732E">
              <w:rPr>
                <w:color w:val="3333B3"/>
                <w:sz w:val="20"/>
                <w:szCs w:val="16"/>
              </w:rPr>
              <w:t xml:space="preserve">Figure </w:t>
            </w:r>
            <w:r w:rsidR="00B924E3">
              <w:rPr>
                <w:color w:val="3333B3"/>
                <w:sz w:val="20"/>
                <w:szCs w:val="16"/>
              </w:rPr>
              <w:t>2</w:t>
            </w:r>
            <w:r w:rsidRPr="00CB732E">
              <w:rPr>
                <w:color w:val="3333B3"/>
                <w:sz w:val="20"/>
                <w:szCs w:val="16"/>
              </w:rPr>
              <w:t xml:space="preserve">: </w:t>
            </w:r>
            <w:bookmarkStart w:id="14" w:name="OLE_LINK10"/>
            <w:r>
              <w:rPr>
                <w:sz w:val="20"/>
                <w:szCs w:val="16"/>
              </w:rPr>
              <w:t xml:space="preserve">LTV restriction and </w:t>
            </w:r>
            <w:r w:rsidR="00620883">
              <w:rPr>
                <w:sz w:val="20"/>
                <w:szCs w:val="16"/>
              </w:rPr>
              <w:t xml:space="preserve">share of </w:t>
            </w:r>
            <w:r w:rsidR="007467A7">
              <w:rPr>
                <w:sz w:val="20"/>
                <w:szCs w:val="16"/>
              </w:rPr>
              <w:t>households</w:t>
            </w:r>
            <w:r>
              <w:rPr>
                <w:sz w:val="20"/>
                <w:szCs w:val="16"/>
              </w:rPr>
              <w:t xml:space="preserve"> with mortgages</w:t>
            </w:r>
            <w:bookmarkEnd w:id="14"/>
          </w:p>
          <w:p w14:paraId="04AF0ACE" w14:textId="77777777" w:rsidR="00461351" w:rsidRDefault="00461351" w:rsidP="00620883">
            <w:pPr>
              <w:pStyle w:val="Caption"/>
              <w:rPr>
                <w:sz w:val="20"/>
                <w:szCs w:val="16"/>
              </w:rPr>
            </w:pPr>
          </w:p>
          <w:p w14:paraId="345B0977" w14:textId="0D9BDFE4" w:rsidR="005C3F7A" w:rsidRDefault="00461351" w:rsidP="005C3F7A">
            <w:pPr>
              <w:pStyle w:val="BodyText"/>
              <w:bidi/>
              <w:rPr>
                <w:rtl/>
                <w:lang w:bidi="he-IL"/>
              </w:rPr>
            </w:pPr>
            <w:r>
              <w:rPr>
                <w:noProof/>
                <w:lang w:bidi="he-IL"/>
              </w:rPr>
              <w:drawing>
                <wp:inline distT="0" distB="0" distL="0" distR="0" wp14:anchorId="2FE8E401" wp14:editId="147FBA5B">
                  <wp:extent cx="2590071" cy="2911915"/>
                  <wp:effectExtent l="0" t="0" r="1270" b="3175"/>
                  <wp:docPr id="12812134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13485"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2614346" cy="2939207"/>
                          </a:xfrm>
                          <a:prstGeom prst="rect">
                            <a:avLst/>
                          </a:prstGeom>
                        </pic:spPr>
                      </pic:pic>
                    </a:graphicData>
                  </a:graphic>
                </wp:inline>
              </w:drawing>
            </w:r>
          </w:p>
        </w:tc>
      </w:tr>
    </w:tbl>
    <w:p w14:paraId="08180D34" w14:textId="77777777" w:rsidR="00B67E4B" w:rsidRDefault="001A66DC" w:rsidP="00B67E4B">
      <w:pPr>
        <w:pStyle w:val="Caption"/>
        <w:jc w:val="left"/>
      </w:pPr>
      <w:r w:rsidRPr="00D1109C">
        <w:t>Source: Author</w:t>
      </w:r>
      <w:r w:rsidRPr="00D1109C">
        <w:rPr>
          <w:rFonts w:ascii="Utopia" w:hAnsi="Utopia"/>
        </w:rPr>
        <w:t>s</w:t>
      </w:r>
      <w:r w:rsidRPr="00D1109C">
        <w:t xml:space="preserve">' Analyses. Data: </w:t>
      </w:r>
      <w:r>
        <w:t>OECD</w:t>
      </w:r>
    </w:p>
    <w:p w14:paraId="08006C1F" w14:textId="07A03341" w:rsidR="00523839" w:rsidRDefault="005836F0" w:rsidP="00EC7FDA">
      <w:pPr>
        <w:pStyle w:val="BodyText"/>
        <w:rPr>
          <w:rFonts w:ascii="Utopia" w:hAnsi="Utopia"/>
          <w:color w:val="000000"/>
        </w:rPr>
      </w:pPr>
      <w:r w:rsidRPr="005836F0">
        <w:rPr>
          <w:rFonts w:ascii="Utopia" w:hAnsi="Utopia"/>
          <w:color w:val="000000"/>
        </w:rPr>
        <w:t>Another notable fact is that</w:t>
      </w:r>
      <w:r>
        <w:rPr>
          <w:rFonts w:ascii="Utopia" w:hAnsi="Utopia"/>
          <w:color w:val="000000"/>
        </w:rPr>
        <w:t xml:space="preserve"> </w:t>
      </w:r>
      <w:r w:rsidR="001A66DC" w:rsidRPr="008E2B36">
        <w:t>there is a high degree of nominal rigidity in rental prices in Israel</w:t>
      </w:r>
      <w:r w:rsidR="003446CB">
        <w:t xml:space="preserve">. </w:t>
      </w:r>
      <w:r w:rsidR="001A66DC" w:rsidRPr="008E2B36">
        <w:t>Based on a sample from 2010</w:t>
      </w:r>
      <w:r w:rsidR="001A66DC">
        <w:t>–</w:t>
      </w:r>
      <w:r w:rsidR="001A66DC" w:rsidRPr="008E2B36">
        <w:t>2015,</w:t>
      </w:r>
      <w:r w:rsidR="003446CB">
        <w:t xml:space="preserve"> </w:t>
      </w:r>
      <w:r w:rsidR="00820094" w:rsidRPr="00CB2EC1">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{"citationID":"91RgY9QB","properties":{"formattedCitation":"Raz-Dror (2019)","plainCitation":"Raz-Dror (2019)","noteIndex":0},"citationItems":[{"id":1215,"uris":["http://zotero.org/users/6680486/items/CY4ZCYAA"],"itemData":{"id":1215,"type":"article-journal","citation-key":"raz-drorChangesRentIsrael2019","container-title":"Israel Economic Review","issue":"1","source":"Google Scholar","title":"The changes in rent in israel during the years of the housing crisis 2008–2015","URL":"https://papers.ssrn.com/sol3/papers.cfm?abstract_id=3481727","volume":"17","author":[{"family":"Raz-Dror","given":"Ofer"}],"accessed":{"date-parts":[["2024",2,22]]},"issued":{"date-parts":[["2019"]]}}}],"schema":"https://github.com/citation-style-language/schema/raw/master/csl-citation.json"} </w:instrText>
      </w:r>
      <w:r w:rsidR="00820094" w:rsidRPr="00CB2EC1">
        <w:rPr>
          <w:rFonts w:asciiTheme="majorHAnsi" w:hAnsiTheme="majorHAnsi" w:cs="David"/>
          <w:color w:val="0081AD"/>
          <w:lang w:bidi="he-IL"/>
        </w:rPr>
        <w:fldChar w:fldCharType="separate"/>
      </w:r>
      <w:r w:rsidR="00EC7FDA" w:rsidRPr="004A526A">
        <w:rPr>
          <w:rFonts w:asciiTheme="majorHAnsi" w:hAnsiTheme="majorHAnsi" w:cs="David"/>
          <w:color w:val="0081AD"/>
          <w:lang w:bidi="he-IL"/>
        </w:rPr>
        <w:t>Raz-Dror (2019)</w:t>
      </w:r>
      <w:r w:rsidR="00820094" w:rsidRPr="00CB2EC1">
        <w:rPr>
          <w:rFonts w:asciiTheme="majorHAnsi" w:hAnsiTheme="majorHAnsi" w:cs="David"/>
          <w:color w:val="0081AD"/>
          <w:lang w:bidi="he-IL"/>
        </w:rPr>
        <w:fldChar w:fldCharType="end"/>
      </w:r>
      <w:r w:rsidR="001A66DC" w:rsidRPr="008E2B36">
        <w:t xml:space="preserve"> found that rent contracts are signed for at least one year, on average. </w:t>
      </w:r>
      <w:r w:rsidR="00820094" w:rsidRPr="00365F1A">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{"citationID":"8KRsH4e2","properties":{"formattedCitation":"Ribon and Sayag (2013)","plainCitation":"Ribon and Sayag (2013)","noteIndex":0},"citationItems":[{"id":1667,"uris":["http://zotero.org/users/6680486/items/PC8VQGMI"],"itemData":{"id":1667,"type":"article","abstract":"The paper studies pricing behavior in Israel, using a very large dataset containing more than 3 million observations drawn from the Israel Central Bureau of Statistics (CBS) database, covering all CPI components except housing and fruit and vegetables. The mean duration between price changes is about 6 to 9 months, depending on the method of computation. We find considerable heterogeneity in the frequency of price changes within and between sectors. We also find that the inflation environment, outlet characteristics and seasonality affect pricing behavior. Changes in VAT have some impact on duration but generally only affect the size of price changes of the most flexible prices.\nAccording to our analysis, the size of the average price change is 3.5%. Price reductions constitute about a third of price changes, and their average size, about 10%, is similar to that of price increases","citation-key":"ribonPriceSettingBehavior2013a","collection-number":"2013.07","collection-title":"Discussion Paper Series","publisher-place":"Research Department Bank of Israel","source":"Google Scholar","title":"Price Setting Behavior in Israel An Empirical Analysis Using Microdata","URL":"https://boi.org.il/media/m41lhbv0/dp1307e.pdf","author":[{"family":"Ribon","given":"Sigal"},{"family":"Sayag","given":"Doron"}],"accessed":{"date-parts":[["2024",5,19]]},"issued":{"date-parts":[["2013",6]]}}}],"schema":"https://github.com/citation-style-language/schema/raw/master/csl-citation.json"} </w:instrText>
      </w:r>
      <w:r w:rsidR="00820094" w:rsidRPr="00365F1A">
        <w:rPr>
          <w:rFonts w:asciiTheme="majorHAnsi" w:hAnsiTheme="majorHAnsi" w:cs="David"/>
          <w:color w:val="0081AD"/>
          <w:lang w:bidi="he-IL"/>
        </w:rPr>
        <w:fldChar w:fldCharType="separate"/>
      </w:r>
      <w:r w:rsidR="00EC7FDA" w:rsidRPr="00DB22D4">
        <w:rPr>
          <w:rFonts w:asciiTheme="majorHAnsi" w:hAnsiTheme="majorHAnsi" w:cs="David"/>
          <w:color w:val="0081AD"/>
          <w:lang w:bidi="he-IL"/>
        </w:rPr>
        <w:t>Ribon and Sayag (2013)</w:t>
      </w:r>
      <w:r w:rsidR="00820094" w:rsidRPr="00365F1A">
        <w:rPr>
          <w:rFonts w:asciiTheme="majorHAnsi" w:hAnsiTheme="majorHAnsi" w:cs="David"/>
          <w:color w:val="0081AD"/>
          <w:lang w:bidi="he-IL"/>
        </w:rPr>
        <w:fldChar w:fldCharType="end"/>
      </w:r>
      <w:r w:rsidR="001A66DC" w:rsidRPr="00365F1A">
        <w:rPr>
          <w:rFonts w:asciiTheme="majorHAnsi" w:hAnsiTheme="majorHAnsi" w:cs="David"/>
          <w:color w:val="0081AD"/>
          <w:lang w:bidi="he-IL"/>
        </w:rPr>
        <w:t xml:space="preserve"> </w:t>
      </w:r>
      <w:r w:rsidR="001A66DC" w:rsidRPr="008E2B36">
        <w:t xml:space="preserve">found that the average </w:t>
      </w:r>
      <w:r w:rsidR="00ED524E">
        <w:t>period</w:t>
      </w:r>
      <w:r w:rsidR="001A66DC" w:rsidRPr="008E2B36">
        <w:t xml:space="preserve"> for price changes among different components of the CPI in Israel is less than one year. This indicates that price rigidity in rent prices is higher </w:t>
      </w:r>
      <w:r w:rsidR="002F33E4">
        <w:t xml:space="preserve">than </w:t>
      </w:r>
      <w:r w:rsidR="001A66DC" w:rsidRPr="008E2B36">
        <w:t>other components of the CPI. This finding for Israel aligns with the economic literature, which also finds a higher level of nominal price rigidity in rental prices relative to other prices (</w:t>
      </w:r>
      <w:r w:rsidR="00820094" w:rsidRPr="00864251">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{"citationID":"wNuVqkM3","properties":{"formattedCitation":"Genesove (2003); Shimizu et al. (2010); Verbrugge et al. (2017)","plainCitation":"Genesove (2003); Shimizu et al. (2010); Verbrugge et al. (2017)","noteIndex":0},"citationItems":[{"id":2744,"uris":["http://zotero.org/users/6680486/items/M5LKPUVZ"],"itemData":{"id":2744,"type":"article-journal","abstract":"This paper contributes to the empirical literature on price stickiness by documenting a high rate of nominal rigidity among housing rents in the United States between 1974 and 1981. Of the units studied, 29% had no change in nominal rents from year to year. The incidence was much higher (a) in years and cities with a low median nominal rent growth rate, and among (b) units whose tenants continued from the previous year and (c) units in small buildings. A little less than half of the nominal rigidity can be ascribed to grid pricing. Possible explanations, as well as the likely distributive and allocative implications, are discussed.","citation-key":"genesoveNominalRigidityApartment2003","container-title":"The Review of Economics and Statistics","DOI":"10.1162/003465303772815763","ISSN":"0034-6535","issue":"4","journalAbbreviation":"The Review of Economics and Statistics","page":"844-853","source":"Silverchair","title":"The Nominal Rigidity of Apartment Rents","volume":"85","author":[{"family":"Genesove","given":"David"}],"issued":{"date-parts":[["2003",11,1]]}}},{"id":1855,"uris":["http://zotero.org/users/6680486/items/98K56UW9"],"itemData":{"id":1855,"type":"article-journal","citation-key":"shimizuResidentialRentsPrice2010","container-title":"Journal of the Japanese and International Economies","DOI":"10.1016/j.jjie.2009.12.006","ISSN":"08891583","issue":"2","journalAbbreviation":"Journal of the Japanese and International Economies","language":"en","license":"https://www.elsevier.com/tdm/userlicense/1.0/","page":"282-299","source":"DOI.org (Crossref)","title":"Residential rents and price rigidity: Micro structure and macro consequences","title-short":"Residential rents and price rigidity","volume":"24","author":[{"family":"Shimizu","given":"Chihiro"},{"family":"Nishimura","given":"Kiyohiko G."},{"family":"Watanabe","given":"Tsutomu"}],"issued":{"date-parts":[["2010",6]]}}},{"id":1852,"uris":["http://zotero.org/users/6680486/items/HQV3CQKX"],"itemData":{"id":1852,"type":"article-journal","abstract":"This is a hedonic regression study of the 2001–2004 and 2004–2007 rent growth of 18,000 rental units. Which variables matter: Location? Age? Rent level? Occupancy duration? Structure type? The answers deepen understanding of the rental market and help guide statistical agency practice. We document significant rent stickiness. Initial relative rent level is the best predictor, mainly because of mean reversion. (This problem likely extends well beyond the present study.) “Location” comes in second, though often not statistically significant: the relative value of location is persistent. Age and occupancy duration are also notable. Our findings support statistical agency practices.","citation-key":"verbruggeDeterminantsDifferentialRent2017","container-title":"Real Estate Economics","DOI":"10.1111/1540-6229.12145","ISSN":"1540-6229","issue":"3","language":"en","note":"_eprint: https://onlinelibrary.wiley.com/doi/pdf/10.1111/1540-6229.12145","page":"591-627","source":"Wiley Online Library","title":"Determinants of Differential Rent Changes: Mean Reversion versus the Usual Suspects","title-short":"Determinants of Differential Rent Changes","volume":"45","author":[{"family":"Verbrugge","given":"Randal"},{"family":"Dorfman","given":"Alan"},{"family":"Johnson","given":"William"},{"family":"Marsh III","given":"Fred"},{"family":"Poole","given":"Robert"},{"family":"Shoemaker","given":"Owen"}],"issued":{"date-parts":[["2017"]]}}}],"schema":"https://github.com/citation-style-language/schema/raw/master/csl-citation.json"} </w:instrText>
      </w:r>
      <w:r w:rsidR="00820094" w:rsidRPr="00864251">
        <w:rPr>
          <w:rFonts w:asciiTheme="majorHAnsi" w:hAnsiTheme="majorHAnsi" w:cs="David"/>
          <w:color w:val="0081AD"/>
          <w:lang w:bidi="he-IL"/>
        </w:rPr>
        <w:fldChar w:fldCharType="separate"/>
      </w:r>
      <w:r w:rsidR="00EC7FDA" w:rsidRPr="001900C4">
        <w:rPr>
          <w:rFonts w:asciiTheme="majorHAnsi" w:hAnsiTheme="majorHAnsi" w:cs="David"/>
          <w:color w:val="0081AD"/>
          <w:lang w:bidi="he-IL"/>
        </w:rPr>
        <w:t>Genesove (2003); Shimizu et al. (2010)</w:t>
      </w:r>
      <w:r w:rsidR="00EC7FDA" w:rsidRPr="00EC7FDA">
        <w:rPr>
          <w:rFonts w:ascii="Utopia" w:hAnsi="Utopia"/>
        </w:rPr>
        <w:t xml:space="preserve">; </w:t>
      </w:r>
      <w:r w:rsidR="00EC7FDA" w:rsidRPr="001900C4">
        <w:rPr>
          <w:rFonts w:asciiTheme="majorHAnsi" w:hAnsiTheme="majorHAnsi" w:cs="David"/>
          <w:color w:val="0081AD"/>
          <w:lang w:bidi="he-IL"/>
        </w:rPr>
        <w:t>Verbrugge et al. (2017)</w:t>
      </w:r>
      <w:r w:rsidR="00820094" w:rsidRPr="00864251">
        <w:rPr>
          <w:rFonts w:asciiTheme="majorHAnsi" w:hAnsiTheme="majorHAnsi" w:cs="David"/>
          <w:color w:val="0081AD"/>
          <w:lang w:bidi="he-IL"/>
        </w:rPr>
        <w:fldChar w:fldCharType="end"/>
      </w:r>
      <w:r w:rsidR="001A66DC" w:rsidRPr="008E2B36">
        <w:t>).</w:t>
      </w:r>
      <w:r w:rsidR="00021F0C" w:rsidRPr="00021F0C">
        <w:rPr>
          <w:rFonts w:ascii="Utopia" w:hAnsi="Utopia"/>
          <w:color w:val="000000"/>
        </w:rPr>
        <w:t xml:space="preserve"> </w:t>
      </w:r>
      <w:r w:rsidR="00000994" w:rsidRPr="00000994">
        <w:rPr>
          <w:rFonts w:ascii="Utopia" w:hAnsi="Utopia"/>
          <w:color w:val="000000"/>
        </w:rPr>
        <w:t xml:space="preserve">This evidence justifies our analytical distinction between rental price dynamics and non-housing price movements, a differentiation that has meaningful </w:t>
      </w:r>
      <w:r w:rsidR="00C2081D" w:rsidRPr="00000994">
        <w:rPr>
          <w:rFonts w:ascii="Utopia" w:hAnsi="Utopia"/>
          <w:color w:val="000000"/>
        </w:rPr>
        <w:t xml:space="preserve">implications, </w:t>
      </w:r>
      <w:r w:rsidR="00000994" w:rsidRPr="00000994">
        <w:rPr>
          <w:rFonts w:ascii="Utopia" w:hAnsi="Utopia"/>
          <w:color w:val="000000"/>
        </w:rPr>
        <w:t>most notably, the tendency for real rental prices to increase following contractionary monetary policy measures.</w:t>
      </w:r>
    </w:p>
    <w:p w14:paraId="73FA0BEC" w14:textId="69F820F1" w:rsidR="00A81F8E" w:rsidRDefault="00A81F8E" w:rsidP="004500BE">
      <w:pPr>
        <w:pStyle w:val="BodyText"/>
        <w:rPr>
          <w:rFonts w:ascii="Utopia" w:hAnsi="Utopia"/>
          <w:color w:val="000000"/>
        </w:rPr>
      </w:pPr>
      <w:r w:rsidRPr="00A81F8E">
        <w:rPr>
          <w:rFonts w:ascii="Utopia" w:hAnsi="Utopia"/>
          <w:color w:val="000000"/>
        </w:rPr>
        <w:t xml:space="preserve">Taken together, these stylized facts motivate the development of a model that incorporates heterogeneous households, an explicit rental market supplied by investors, binding collateral constraints, and nominal rent rigidity. These features are essential for explaining why macroprudential policy in Israel </w:t>
      </w:r>
      <w:r w:rsidRPr="00A81F8E">
        <w:rPr>
          <w:rFonts w:ascii="Utopia" w:hAnsi="Utopia"/>
          <w:color w:val="000000"/>
        </w:rPr>
        <w:lastRenderedPageBreak/>
        <w:t>exerts a strong influence on leverage and tenure choice, yet has only a limited effect on housing prices.</w:t>
      </w:r>
    </w:p>
    <w:p w14:paraId="4A1275F6" w14:textId="77777777" w:rsidR="009177F5" w:rsidRDefault="001A66DC" w:rsidP="008E2B36">
      <w:pPr>
        <w:pStyle w:val="Heading1"/>
      </w:pPr>
      <w:r>
        <w:t>The Model</w:t>
      </w:r>
    </w:p>
    <w:p w14:paraId="414433DC" w14:textId="77777777" w:rsidR="00EE64CD" w:rsidRDefault="001A66DC" w:rsidP="00332F37">
      <w:pPr>
        <w:pStyle w:val="BodyText"/>
      </w:pPr>
      <w:r w:rsidRPr="00EE64CD">
        <w:t xml:space="preserve">The model </w:t>
      </w:r>
      <w:r w:rsidR="00CD503A" w:rsidRPr="00EE64CD">
        <w:t>contains</w:t>
      </w:r>
      <w:r w:rsidRPr="00EE64CD">
        <w:t xml:space="preserve"> two </w:t>
      </w:r>
      <w:r w:rsidR="00EE50F7">
        <w:t xml:space="preserve">representative </w:t>
      </w:r>
      <w:r w:rsidRPr="00EE64CD">
        <w:t>household categories, lenders</w:t>
      </w:r>
      <w:r w:rsidR="001D2404">
        <w:t xml:space="preserve"> (patient)</w:t>
      </w:r>
      <w:r w:rsidRPr="00EE64CD">
        <w:t xml:space="preserve"> and borrowers</w:t>
      </w:r>
      <w:r w:rsidR="001D2404">
        <w:t xml:space="preserve"> (i</w:t>
      </w:r>
      <w:r w:rsidR="00332F37">
        <w:t>m</w:t>
      </w:r>
      <w:r w:rsidR="001D2404">
        <w:t>patient)</w:t>
      </w:r>
      <w:r w:rsidR="001A1523">
        <w:t>,</w:t>
      </w:r>
      <w:r w:rsidR="00B63449">
        <w:t xml:space="preserve"> which </w:t>
      </w:r>
      <w:r w:rsidR="00B63449" w:rsidRPr="00C43B66">
        <w:t>have collateral constraint</w:t>
      </w:r>
      <w:r w:rsidR="00674FBF" w:rsidRPr="00C43B66">
        <w:t>s</w:t>
      </w:r>
      <w:r w:rsidRPr="00B63449">
        <w:t>;</w:t>
      </w:r>
      <w:r w:rsidRPr="00B664E6">
        <w:rPr>
          <w:b/>
          <w:bCs/>
        </w:rPr>
        <w:t xml:space="preserve"> </w:t>
      </w:r>
      <w:r w:rsidRPr="00EE64CD">
        <w:t>housing retailers who provide final rental properties in the housing market; companies that produce consumer goods (excluding housing services); commercial banks functioning as financial intermediaries; and a central bank responsible for implementing monetary and macroprudential policies.</w:t>
      </w:r>
    </w:p>
    <w:p w14:paraId="7086626D" w14:textId="77777777" w:rsidR="0055154E" w:rsidRPr="008E2B36" w:rsidRDefault="001A66DC" w:rsidP="00553321">
      <w:pPr>
        <w:pStyle w:val="BodyText"/>
      </w:pPr>
      <w:r w:rsidRPr="008E2B36">
        <w:t>The lenders</w:t>
      </w:r>
      <w:r w:rsidR="00CD503A">
        <w:t>'</w:t>
      </w:r>
      <w:r w:rsidRPr="008E2B36">
        <w:t xml:space="preserve"> (patient)</w:t>
      </w:r>
      <w:r w:rsidR="00CD503A">
        <w:t xml:space="preserve"> </w:t>
      </w:r>
      <w:r w:rsidR="00CD503A" w:rsidRPr="008E2B36">
        <w:t xml:space="preserve">discount factor is higher than that of the </w:t>
      </w:r>
      <w:r w:rsidRPr="008E2B36">
        <w:t>borrowers (impatient)</w:t>
      </w:r>
      <w:r w:rsidR="00CD503A">
        <w:t>, which</w:t>
      </w:r>
      <w:r w:rsidRPr="008E2B36">
        <w:t xml:space="preserve"> generate </w:t>
      </w:r>
      <w:r w:rsidR="00CD503A">
        <w:t>saving</w:t>
      </w:r>
      <w:r w:rsidR="00553321">
        <w:t>s</w:t>
      </w:r>
      <w:r w:rsidR="00CD503A">
        <w:t xml:space="preserve"> and </w:t>
      </w:r>
      <w:r w:rsidRPr="008E2B36">
        <w:t xml:space="preserve">debt </w:t>
      </w:r>
      <w:r w:rsidR="00553321">
        <w:t>respectively</w:t>
      </w:r>
      <w:r w:rsidRPr="008E2B36">
        <w:t>.</w:t>
      </w:r>
      <w:r w:rsidR="00CD503A">
        <w:t xml:space="preserve"> </w:t>
      </w:r>
      <w:r w:rsidRPr="008E2B36">
        <w:t>In equilibrium, the debt of borrowers equals the savings of lenders.</w:t>
      </w:r>
    </w:p>
    <w:p w14:paraId="6E7AD1D3" w14:textId="77777777" w:rsidR="00D231BD" w:rsidRDefault="001A66DC" w:rsidP="00553321">
      <w:pPr>
        <w:pStyle w:val="BodyText"/>
      </w:pPr>
      <w:r w:rsidRPr="00D231BD">
        <w:t>Although Israel is a small open economy, we model it as a closed economy for the purposes of this analysis, given that the primary channel through which the global economy influences the domestic housing market is indirect. Specifically, while mortgage lending in Israel is conducted almost exclusively through the domestic banking sector, mortgage interest rates are influenced by global financial conditions via their impact on domestic capital market interest rates.</w:t>
      </w:r>
    </w:p>
    <w:p w14:paraId="09936E42" w14:textId="28DF772F" w:rsidR="000A5662" w:rsidRPr="001D21CB" w:rsidRDefault="000A5662" w:rsidP="00C6644A">
      <w:pPr>
        <w:pStyle w:val="BodyText"/>
      </w:pPr>
      <w:r w:rsidRPr="000A5662">
        <w:t xml:space="preserve">We assume that, in the short run, the supply of dwellings is </w:t>
      </w:r>
      <w:r w:rsidR="00C2081D" w:rsidRPr="000A5662">
        <w:t xml:space="preserve">exogenous, </w:t>
      </w:r>
      <w:r w:rsidRPr="000A5662">
        <w:t>that is, housing supply adjusts only gradually to shocks over several years. As a result, short-term fluctuations in the housing market are driven primarily by changes in demand for both owner-occupied and rental properties across household types, while supply remains largely external and relatively inelastic.</w:t>
      </w:r>
    </w:p>
    <w:p w14:paraId="45E714A4" w14:textId="2A6F3679" w:rsidR="005B2E2B" w:rsidRPr="005B2E2B" w:rsidRDefault="005B2E2B" w:rsidP="00477C66">
      <w:pPr>
        <w:pStyle w:val="BodyText"/>
        <w:rPr>
          <w:rtl/>
        </w:rPr>
      </w:pPr>
      <w:r w:rsidRPr="005B2E2B">
        <w:t>Empirical evidence supporting this assumption comes from the lengthy construction period in Israel, which averages more than 30 months (Bank of Israel Report, 2024). When the additional time required for land marketing and planning—often exceeding two years for approvals—is considered, the total duration from the decision to expand supply to the actual increase easily surpasses five years. Furthermore, a significant portion of land designated for residential development is administered by Israeli authorities and thus not fully governed by market forces.</w:t>
      </w:r>
    </w:p>
    <w:p w14:paraId="74559982" w14:textId="77777777" w:rsidR="00E479CE" w:rsidRDefault="001A66DC" w:rsidP="00674FBF">
      <w:pPr>
        <w:pStyle w:val="BodyText"/>
      </w:pPr>
      <w:r w:rsidRPr="00E479CE">
        <w:t xml:space="preserve">The model encompasses both the ownership and rental housing markets, with the two being imperfectly substitutable. Demand in these markets originates from two distinct household categories: 1. </w:t>
      </w:r>
      <w:r w:rsidR="00674FBF">
        <w:t>b</w:t>
      </w:r>
      <w:r w:rsidRPr="00E479CE">
        <w:t xml:space="preserve">orrowers, who are </w:t>
      </w:r>
      <w:r w:rsidRPr="002A7876">
        <w:t>constrained</w:t>
      </w:r>
      <w:r w:rsidRPr="00E479CE">
        <w:t xml:space="preserve"> by</w:t>
      </w:r>
      <w:r w:rsidR="00FA4704">
        <w:t xml:space="preserve"> </w:t>
      </w:r>
      <w:r w:rsidR="00A73B0F">
        <w:t xml:space="preserve">LTV </w:t>
      </w:r>
      <w:r w:rsidR="00FA4704">
        <w:t>restriction</w:t>
      </w:r>
      <w:r w:rsidRPr="00E479CE">
        <w:t xml:space="preserve">, and 2. </w:t>
      </w:r>
      <w:r w:rsidR="00674FBF">
        <w:t>l</w:t>
      </w:r>
      <w:r w:rsidRPr="00E479CE">
        <w:t xml:space="preserve">enders, who are </w:t>
      </w:r>
      <w:r w:rsidR="00CD0DA4">
        <w:t xml:space="preserve">financially </w:t>
      </w:r>
      <w:r w:rsidRPr="002A7876">
        <w:t>unconstrained</w:t>
      </w:r>
      <w:r w:rsidRPr="00E479CE">
        <w:t xml:space="preserve"> </w:t>
      </w:r>
      <w:r w:rsidR="00603BCB" w:rsidRPr="00E479CE">
        <w:t>and</w:t>
      </w:r>
      <w:r w:rsidRPr="00E479CE">
        <w:t xml:space="preserve"> </w:t>
      </w:r>
      <w:r w:rsidR="00FB389A">
        <w:t>act</w:t>
      </w:r>
      <w:r w:rsidRPr="00E479CE">
        <w:t xml:space="preserve"> as investors by supplying rental properties. Both </w:t>
      </w:r>
      <w:r w:rsidRPr="00E479CE">
        <w:lastRenderedPageBreak/>
        <w:t>household</w:t>
      </w:r>
      <w:r w:rsidR="00553321">
        <w:t xml:space="preserve"> type</w:t>
      </w:r>
      <w:r w:rsidRPr="00E479CE">
        <w:t>s generate demand for non</w:t>
      </w:r>
      <w:r w:rsidR="00AA2D3A">
        <w:t>-</w:t>
      </w:r>
      <w:r w:rsidRPr="00E479CE">
        <w:t>housing consumption goods and provide labor to firms.</w:t>
      </w:r>
    </w:p>
    <w:p w14:paraId="7792A680" w14:textId="58993D83" w:rsidR="007E17BB" w:rsidRDefault="001A66DC" w:rsidP="00CD736E">
      <w:pPr>
        <w:pStyle w:val="BodyText"/>
      </w:pPr>
      <w:r>
        <w:t>Real estate i</w:t>
      </w:r>
      <w:r w:rsidR="00C06088" w:rsidRPr="00C06088">
        <w:t>nvestors offer rental houses by leasing them to</w:t>
      </w:r>
      <w:r>
        <w:t xml:space="preserve"> renters, </w:t>
      </w:r>
      <w:r w:rsidR="00C06088" w:rsidRPr="00C06088">
        <w:t xml:space="preserve">subject to price </w:t>
      </w:r>
      <w:r w:rsidR="00D35519">
        <w:t>rigidity</w:t>
      </w:r>
      <w:r w:rsidR="00C06088" w:rsidRPr="00C06088">
        <w:t xml:space="preserve">. </w:t>
      </w:r>
      <w:r w:rsidR="00E00078" w:rsidRPr="00F160AE">
        <w:t xml:space="preserve">Firms produce </w:t>
      </w:r>
      <w:bookmarkStart w:id="15" w:name="_Int_XsIgXTKu"/>
      <w:r w:rsidR="00E00078" w:rsidRPr="00F160AE">
        <w:t>consumption</w:t>
      </w:r>
      <w:bookmarkEnd w:id="15"/>
      <w:r w:rsidR="00E00078" w:rsidRPr="00F160AE">
        <w:t xml:space="preserve"> goods (</w:t>
      </w:r>
      <w:r w:rsidR="00CD503A">
        <w:t>exclude</w:t>
      </w:r>
      <w:r w:rsidR="00E00078" w:rsidRPr="00F160AE">
        <w:t xml:space="preserve"> housing) using labor (without capital</w:t>
      </w:r>
      <w:r w:rsidR="000E2FE6" w:rsidRPr="00F160AE">
        <w:t>) and</w:t>
      </w:r>
      <w:r w:rsidR="00E00078" w:rsidRPr="00F160AE">
        <w:t xml:space="preserve"> operate in monopolistic competition subject to price rigidity. The central bank conducts monetary policy using a monetary interest rate</w:t>
      </w:r>
      <w:r w:rsidR="00BF1786">
        <w:t>,</w:t>
      </w:r>
      <w:r w:rsidR="00E00078" w:rsidRPr="00F160AE">
        <w:t xml:space="preserve"> and macroprudential policy using LTV restriction</w:t>
      </w:r>
      <w:r w:rsidR="00553321">
        <w:t>s</w:t>
      </w:r>
      <w:r w:rsidR="00E00078" w:rsidRPr="00F160AE">
        <w:t>. In the model, there is no fiscal policy.</w:t>
      </w:r>
    </w:p>
    <w:p w14:paraId="500A688C" w14:textId="77777777" w:rsidR="00AA0E39" w:rsidRPr="0071055A" w:rsidRDefault="001A66DC" w:rsidP="00426E3A">
      <w:pPr>
        <w:pStyle w:val="Heading2"/>
      </w:pPr>
      <w:r w:rsidRPr="0071055A">
        <w:t>Households</w:t>
      </w:r>
    </w:p>
    <w:p w14:paraId="3A599A00" w14:textId="2CB371E7" w:rsidR="003C36C4" w:rsidRPr="00B600AA" w:rsidRDefault="001A66DC" w:rsidP="00EC7FDA">
      <w:pPr>
        <w:pStyle w:val="BodyText"/>
      </w:pPr>
      <w:r w:rsidRPr="00B600AA">
        <w:t>Households' utility function include</w:t>
      </w:r>
      <w:r w:rsidR="00553321">
        <w:t>s</w:t>
      </w:r>
      <w:r w:rsidRPr="00B600AA">
        <w:t xml:space="preserve"> consumption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Pr="00B600AA">
        <w:t xml:space="preserve"> (excl. housing), housing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B600AA">
        <w:t xml:space="preserve"> and labor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sidR="00580800">
        <w:rPr>
          <w:rFonts w:eastAsiaTheme="minorEastAsia"/>
        </w:rPr>
        <w:t xml:space="preserve">. </w:t>
      </w:r>
      <w:r w:rsidRPr="00B600AA">
        <w:t>W</w:t>
      </w:r>
      <w:r w:rsidR="005B617E" w:rsidRPr="00B600AA">
        <w:t>e assume the utility function of</w:t>
      </w:r>
      <w:r w:rsidRPr="00B600AA">
        <w:t xml:space="preserve"> the following form</w:t>
      </w:r>
      <w:r w:rsidR="00727AFC">
        <w:t xml:space="preserve"> similar to </w:t>
      </w:r>
      <w:r w:rsidR="00727AFC" w:rsidRPr="006F1966">
        <w:rPr>
          <w:rFonts w:asciiTheme="majorHAnsi" w:hAnsiTheme="majorHAnsi" w:cs="David"/>
          <w:color w:val="0081AD"/>
          <w:lang w:bidi="he-IL"/>
        </w:rPr>
        <w:fldChar w:fldCharType="begin"/>
      </w:r>
      <w:r w:rsidR="00EC7FDA" w:rsidRPr="006F1966">
        <w:rPr>
          <w:rFonts w:asciiTheme="majorHAnsi" w:hAnsiTheme="majorHAnsi" w:cs="David"/>
          <w:color w:val="0081AD"/>
          <w:lang w:bidi="he-IL"/>
        </w:rPr>
        <w:instrText xml:space="preserve"> ADDIN ZOTERO_ITEM CSL_CITATION {"citationID":"GHBoK3xZ","properties":{"formattedCitation":"Sun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727AFC" w:rsidRPr="006F1966">
        <w:rPr>
          <w:rFonts w:asciiTheme="majorHAnsi" w:hAnsiTheme="majorHAnsi" w:cs="David"/>
          <w:color w:val="0081AD"/>
          <w:lang w:bidi="he-IL"/>
        </w:rPr>
        <w:fldChar w:fldCharType="separate"/>
      </w:r>
      <w:r w:rsidR="00EC7FDA" w:rsidRPr="006F1966">
        <w:rPr>
          <w:rFonts w:asciiTheme="majorHAnsi" w:hAnsiTheme="majorHAnsi" w:cs="David"/>
          <w:color w:val="0081AD"/>
          <w:lang w:bidi="he-IL"/>
        </w:rPr>
        <w:t>Sun and Tsang (2017)</w:t>
      </w:r>
      <w:r w:rsidR="00727AFC" w:rsidRPr="006F1966">
        <w:rPr>
          <w:rFonts w:asciiTheme="majorHAnsi" w:hAnsiTheme="majorHAnsi" w:cs="David"/>
          <w:color w:val="0081AD"/>
          <w:lang w:bidi="he-IL"/>
        </w:rPr>
        <w:fldChar w:fldCharType="end"/>
      </w:r>
      <w:r w:rsidR="006D03AD" w:rsidRPr="00B600AA">
        <w:t>:</w:t>
      </w:r>
      <w:r w:rsidRPr="00B600AA">
        <w:t xml:space="preserve"> </w:t>
      </w:r>
    </w:p>
    <w:p w14:paraId="1A75D55C" w14:textId="1032F114" w:rsidR="003C36C4" w:rsidRPr="00CC404B" w:rsidRDefault="00CC404B" w:rsidP="00B72490">
      <w:pPr>
        <w:pStyle w:val="BodyText"/>
        <w:bidi/>
        <w:rPr>
          <w:rFonts w:asciiTheme="majorHAnsi" w:hAnsiTheme="majorHAnsi"/>
          <w:i/>
          <w:rtl/>
          <w:lang w:bidi="he-IL"/>
        </w:rPr>
      </w:pPr>
      <m:oMathPara>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sSub>
            <m:sSubPr>
              <m:ctrlPr>
                <w:rPr>
                  <w:rFonts w:ascii="Cambria Math" w:hAnsi="Cambria Math"/>
                  <w:i/>
                </w:rPr>
              </m:ctrlPr>
            </m:sSubPr>
            <m:e>
              <m:r>
                <w:rPr>
                  <w:rFonts w:ascii="Cambria Math" w:hAnsi="Cambria Math"/>
                </w:rPr>
                <m:t>Γ</m:t>
              </m:r>
            </m:e>
            <m:sub>
              <m:r>
                <w:rPr>
                  <w:rFonts w:ascii="Cambria Math" w:hAnsi="Cambria Math"/>
                </w:rPr>
                <m:t>C</m:t>
              </m:r>
            </m:sub>
          </m:sSub>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c</m:t>
                  </m:r>
                </m:sup>
              </m:sSup>
              <m:sSub>
                <m:sSubPr>
                  <m:ctrlPr>
                    <w:rPr>
                      <w:rFonts w:ascii="Cambria Math" w:hAnsi="Cambria Math"/>
                      <w:i/>
                    </w:rPr>
                  </m:ctrlPr>
                </m:sSubPr>
                <m:e>
                  <m:r>
                    <w:rPr>
                      <w:rFonts w:ascii="Cambria Math" w:hAnsi="Cambria Math"/>
                    </w:rPr>
                    <m:t>C</m:t>
                  </m: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t</m:t>
              </m:r>
            </m:sub>
          </m:sSub>
          <m:r>
            <w:rPr>
              <w:rFonts w:ascii="Cambria Math" w:hAnsi="Cambria Math"/>
            </w:rPr>
            <m:t>log</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1+ϱ</m:t>
              </m:r>
            </m:den>
          </m:f>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1+ϱ</m:t>
              </m:r>
            </m:sup>
          </m:sSubSup>
        </m:oMath>
      </m:oMathPara>
    </w:p>
    <w:p w14:paraId="3586D85B" w14:textId="2F386660" w:rsidR="00853F5C" w:rsidRDefault="001A66DC" w:rsidP="00853F5C">
      <w:pPr>
        <w:pStyle w:val="BodyText"/>
      </w:pPr>
      <w:r>
        <w:t>T</w:t>
      </w:r>
      <w:r w:rsidR="00B72490">
        <w:t>he parameter</w:t>
      </w:r>
      <w:r w:rsidR="00CB02B7">
        <w:t xml:space="preserve"> </w:t>
      </w:r>
      <m:oMath>
        <m:sSub>
          <m:sSubPr>
            <m:ctrlPr>
              <w:rPr>
                <w:rFonts w:ascii="Cambria Math" w:hAnsi="Cambria Math"/>
                <w:i/>
              </w:rPr>
            </m:ctrlPr>
          </m:sSubPr>
          <m:e>
            <m:r>
              <w:rPr>
                <w:rFonts w:ascii="Cambria Math" w:hAnsi="Cambria Math"/>
              </w:rPr>
              <m:t>Γ</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ζ</m:t>
                </m:r>
              </m:e>
              <m:sup>
                <m:r>
                  <w:rPr>
                    <w:rFonts w:ascii="Cambria Math" w:hAnsi="Cambria Math"/>
                  </w:rPr>
                  <m:t>c</m:t>
                </m:r>
              </m:sup>
            </m:sSup>
          </m:num>
          <m:den>
            <m:r>
              <w:rPr>
                <w:rFonts w:ascii="Cambria Math" w:hAnsi="Cambria Math"/>
              </w:rPr>
              <m:t>1-β</m:t>
            </m:r>
            <m:sSup>
              <m:sSupPr>
                <m:ctrlPr>
                  <w:rPr>
                    <w:rFonts w:ascii="Cambria Math" w:hAnsi="Cambria Math"/>
                    <w:i/>
                  </w:rPr>
                </m:ctrlPr>
              </m:sSupPr>
              <m:e>
                <m:r>
                  <w:rPr>
                    <w:rFonts w:ascii="Cambria Math" w:hAnsi="Cambria Math"/>
                  </w:rPr>
                  <m:t>ζ</m:t>
                </m:r>
              </m:e>
              <m:sup>
                <m:r>
                  <w:rPr>
                    <w:rFonts w:ascii="Cambria Math" w:hAnsi="Cambria Math"/>
                  </w:rPr>
                  <m:t>c</m:t>
                </m:r>
              </m:sup>
            </m:sSup>
          </m:den>
        </m:f>
      </m:oMath>
      <w:r w:rsidR="00752C10">
        <w:rPr>
          <w:rFonts w:eastAsiaTheme="minorEastAsia"/>
        </w:rPr>
        <w:t xml:space="preserve"> </w:t>
      </w:r>
      <w:r w:rsidR="00B72490">
        <w:rPr>
          <w:rFonts w:eastAsiaTheme="minorEastAsia"/>
        </w:rPr>
        <w:t>e</w:t>
      </w:r>
      <w:r w:rsidR="00752C10">
        <w:rPr>
          <w:rFonts w:eastAsiaTheme="minorEastAsia"/>
        </w:rPr>
        <w:t>nsures that</w:t>
      </w:r>
      <w:r w:rsidR="00B72490">
        <w:rPr>
          <w:rFonts w:eastAsiaTheme="minorEastAsia"/>
        </w:rPr>
        <w:t>,</w:t>
      </w:r>
      <w:r w:rsidR="00752C10">
        <w:rPr>
          <w:rFonts w:eastAsiaTheme="minorEastAsia"/>
        </w:rPr>
        <w:t xml:space="preserve"> in the steady state</w:t>
      </w:r>
      <w:r w:rsidR="00B72490">
        <w:rPr>
          <w:rFonts w:eastAsiaTheme="minorEastAsia"/>
        </w:rPr>
        <w:t>,</w:t>
      </w:r>
      <w:r w:rsidR="00752C10">
        <w:rPr>
          <w:rFonts w:eastAsiaTheme="minorEastAsia"/>
        </w:rPr>
        <w:t xml:space="preserve"> the marginal</w:t>
      </w:r>
      <w:r w:rsidR="00B72490">
        <w:rPr>
          <w:rFonts w:eastAsiaTheme="minorEastAsia"/>
        </w:rPr>
        <w:t xml:space="preserve"> utility of consumption depends solely on the level of consumption. </w:t>
      </w:r>
      <m:oMath>
        <m:sSup>
          <m:sSupPr>
            <m:ctrlPr>
              <w:rPr>
                <w:rFonts w:ascii="Cambria Math" w:hAnsi="Cambria Math"/>
                <w:i/>
              </w:rPr>
            </m:ctrlPr>
          </m:sSupPr>
          <m:e>
            <m:r>
              <w:rPr>
                <w:rFonts w:ascii="Cambria Math" w:hAnsi="Cambria Math"/>
              </w:rPr>
              <m:t>ζ</m:t>
            </m:r>
          </m:e>
          <m:sup>
            <m:r>
              <w:rPr>
                <w:rFonts w:ascii="Cambria Math" w:hAnsi="Cambria Math"/>
              </w:rPr>
              <m:t>c</m:t>
            </m:r>
          </m:sup>
        </m:sSup>
      </m:oMath>
      <w:r w:rsidR="0085594A">
        <w:t>,</w:t>
      </w:r>
      <w:r w:rsidR="00580800" w:rsidRPr="00B600AA">
        <w:t xml:space="preserve"> is a degree of habit in consumption</w:t>
      </w:r>
      <w:r w:rsidR="00553321">
        <w:t>, and</w:t>
      </w:r>
      <w:r w:rsidR="00580800">
        <w:t xml:space="preserve"> </w:t>
      </w:r>
      <m:oMath>
        <m:sSub>
          <m:sSubPr>
            <m:ctrlPr>
              <w:rPr>
                <w:rFonts w:ascii="Cambria Math" w:hAnsi="Cambria Math"/>
                <w:i/>
              </w:rPr>
            </m:ctrlPr>
          </m:sSubPr>
          <m:e>
            <m:r>
              <w:rPr>
                <w:rFonts w:ascii="Cambria Math" w:hAnsi="Cambria Math"/>
              </w:rPr>
              <m:t>z</m:t>
            </m:r>
          </m:e>
          <m:sub>
            <m:r>
              <w:rPr>
                <w:rFonts w:ascii="Cambria Math" w:hAnsi="Cambria Math"/>
              </w:rPr>
              <m:t>t</m:t>
            </m:r>
          </m:sub>
        </m:sSub>
      </m:oMath>
      <w:r w:rsidR="00580800" w:rsidRPr="00B600AA">
        <w:t xml:space="preserve"> and </w:t>
      </w:r>
      <m:oMath>
        <m:sSub>
          <m:sSubPr>
            <m:ctrlPr>
              <w:rPr>
                <w:rFonts w:ascii="Cambria Math" w:hAnsi="Cambria Math"/>
                <w:i/>
              </w:rPr>
            </m:ctrlPr>
          </m:sSubPr>
          <m:e>
            <m:r>
              <w:rPr>
                <w:rFonts w:ascii="Cambria Math" w:hAnsi="Cambria Math"/>
              </w:rPr>
              <m:t>j</m:t>
            </m:r>
          </m:e>
          <m:sub>
            <m:r>
              <w:rPr>
                <w:rFonts w:ascii="Cambria Math" w:hAnsi="Cambria Math"/>
              </w:rPr>
              <m:t>t</m:t>
            </m:r>
          </m:sub>
        </m:sSub>
      </m:oMath>
      <w:r w:rsidR="00580800" w:rsidRPr="00B600AA">
        <w:t xml:space="preserve"> </w:t>
      </w:r>
      <w:r w:rsidR="00580800">
        <w:t>are</w:t>
      </w:r>
      <w:r w:rsidR="00580800" w:rsidRPr="00B600AA">
        <w:t xml:space="preserve"> preference shock</w:t>
      </w:r>
      <w:r w:rsidR="00580800">
        <w:t>s</w:t>
      </w:r>
      <w:r w:rsidR="00580800" w:rsidRPr="00B600AA">
        <w:t xml:space="preserve"> to consumption and housing, respectively. </w:t>
      </w:r>
    </w:p>
    <w:p w14:paraId="1126DBCD" w14:textId="77777777" w:rsidR="00190295" w:rsidRDefault="001A66DC" w:rsidP="00853F5C">
      <w:pPr>
        <w:pStyle w:val="BodyText"/>
      </w:pPr>
      <w:r w:rsidRPr="00190295">
        <w:t>In this paper, we set aside individual household-level behavior and instead model a representative household for each of the two types in the economy—lenders and borrowers—both of whom obtain shelter services through a combination of homeownership and participation in the rental market.</w:t>
      </w:r>
    </w:p>
    <w:p w14:paraId="1ACAF88E" w14:textId="77777777" w:rsidR="00AA0E39" w:rsidRPr="00B600AA" w:rsidRDefault="001A66DC" w:rsidP="00B72490">
      <w:pPr>
        <w:pStyle w:val="BodyText"/>
        <w:rPr>
          <w:rFonts w:eastAsiaTheme="minorEastAsia"/>
        </w:rPr>
      </w:pPr>
      <w:r w:rsidRPr="00B600AA">
        <w:t>We define</w:t>
      </w:r>
      <w:r w:rsidR="00A93D61">
        <w:t xml:space="preserve"> a</w:t>
      </w:r>
      <w:r w:rsidRPr="00B600AA">
        <w:t xml:space="preserve"> housing bundle </w:t>
      </w:r>
      <w:r w:rsidR="00297164" w:rsidRPr="00B600AA">
        <w:t>that</w:t>
      </w:r>
      <w:r w:rsidR="00090DD4" w:rsidRPr="00B600AA">
        <w:t xml:space="preserve"> consists </w:t>
      </w:r>
      <w:r w:rsidRPr="00B600AA">
        <w:t xml:space="preserve">of ownership, </w:t>
      </w:r>
      <m:oMath>
        <m:sSub>
          <m:sSubPr>
            <m:ctrlPr>
              <w:rPr>
                <w:rFonts w:ascii="Cambria Math" w:hAnsi="Cambria Math"/>
                <w:i/>
              </w:rPr>
            </m:ctrlPr>
          </m:sSubPr>
          <m:e>
            <m:r>
              <w:rPr>
                <w:rFonts w:ascii="Cambria Math" w:hAnsi="Cambria Math"/>
              </w:rPr>
              <m:t>h</m:t>
            </m:r>
          </m:e>
          <m:sub>
            <m:r>
              <w:rPr>
                <w:rFonts w:ascii="Cambria Math" w:hAnsi="Cambria Math"/>
              </w:rPr>
              <m:t>o,t</m:t>
            </m:r>
          </m:sub>
        </m:sSub>
      </m:oMath>
      <w:r w:rsidRPr="00B600AA">
        <w:t xml:space="preserve">, and rent, </w:t>
      </w:r>
      <m:oMath>
        <m:sSub>
          <m:sSubPr>
            <m:ctrlPr>
              <w:rPr>
                <w:rFonts w:ascii="Cambria Math" w:hAnsi="Cambria Math"/>
                <w:i/>
              </w:rPr>
            </m:ctrlPr>
          </m:sSubPr>
          <m:e>
            <m:r>
              <w:rPr>
                <w:rFonts w:ascii="Cambria Math" w:hAnsi="Cambria Math"/>
              </w:rPr>
              <m:t>h</m:t>
            </m:r>
          </m:e>
          <m:sub>
            <m:r>
              <w:rPr>
                <w:rFonts w:ascii="Cambria Math" w:hAnsi="Cambria Math"/>
              </w:rPr>
              <m:t>r,t</m:t>
            </m:r>
          </m:sub>
        </m:sSub>
      </m:oMath>
      <w:r w:rsidRPr="00B600AA">
        <w:t>:</w:t>
      </w:r>
    </w:p>
    <w:p w14:paraId="77AE1216" w14:textId="77777777" w:rsidR="00AA0E39" w:rsidRPr="00B600AA" w:rsidRDefault="001A66DC" w:rsidP="005349D7">
      <w:pPr>
        <w:pStyle w:val="BodyText"/>
        <w:bidi/>
        <w:rPr>
          <w:rFonts w:asciiTheme="majorHAnsi" w:eastAsiaTheme="minorEastAsia" w:hAnsiTheme="majorHAnsi"/>
          <w:rtl/>
          <w:lang w:bidi="he-IL"/>
        </w:rPr>
      </w:pPr>
      <m:oMathPara>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e>
          </m:d>
          <m:r>
            <m:rPr>
              <m:sty m:val="p"/>
            </m:rPr>
            <w:rPr>
              <w:rFonts w:ascii="Cambria Math" w:hAnsi="Cambria Math"/>
            </w:rPr>
            <m:t>=</m:t>
          </m:r>
          <m:sSup>
            <m:sSupPr>
              <m:ctrlPr>
                <w:rPr>
                  <w:rFonts w:ascii="Cambria Math" w:eastAsiaTheme="minorEastAsia" w:hAnsi="Cambria Math"/>
                </w:rPr>
              </m:ctrlPr>
            </m:sSupPr>
            <m:e>
              <m:d>
                <m:dPr>
                  <m:begChr m:val="["/>
                  <m:endChr m:val="]"/>
                  <m:ctrlPr>
                    <w:rPr>
                      <w:rFonts w:ascii="Cambria Math" w:hAnsi="Cambria Math"/>
                    </w:rPr>
                  </m:ctrlPr>
                </m:dPr>
                <m:e>
                  <m:r>
                    <w:rPr>
                      <w:rFonts w:ascii="Cambria Math" w:hAnsi="Cambria Math"/>
                    </w:rPr>
                    <m:t>γ</m:t>
                  </m:r>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f>
                        <m:fPr>
                          <m:ctrlPr>
                            <w:rPr>
                              <w:rFonts w:ascii="Cambria Math" w:hAnsi="Cambria Math"/>
                            </w:rPr>
                          </m:ctrlPr>
                        </m:fPr>
                        <m:num>
                          <m:r>
                            <w:rPr>
                              <w:rFonts w:ascii="Cambria Math" w:hAnsi="Cambria Math"/>
                            </w:rPr>
                            <m:t>ε</m:t>
                          </m:r>
                          <m:r>
                            <m:rPr>
                              <m:sty m:val="p"/>
                            </m:rPr>
                            <w:rPr>
                              <w:rFonts w:ascii="Cambria Math" w:hAnsi="Cambria Math"/>
                            </w:rPr>
                            <m:t>-1</m:t>
                          </m:r>
                        </m:num>
                        <m:den>
                          <m:r>
                            <w:rPr>
                              <w:rFonts w:ascii="Cambria Math" w:hAnsi="Cambria Math"/>
                            </w:rPr>
                            <m:t>ε</m:t>
                          </m:r>
                        </m:den>
                      </m:f>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γ</m:t>
                      </m:r>
                    </m:e>
                  </m:d>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f>
                        <m:fPr>
                          <m:ctrlPr>
                            <w:rPr>
                              <w:rFonts w:ascii="Cambria Math" w:hAnsi="Cambria Math"/>
                            </w:rPr>
                          </m:ctrlPr>
                        </m:fPr>
                        <m:num>
                          <m:r>
                            <w:rPr>
                              <w:rFonts w:ascii="Cambria Math" w:hAnsi="Cambria Math"/>
                            </w:rPr>
                            <m:t>ε</m:t>
                          </m:r>
                          <m:r>
                            <m:rPr>
                              <m:sty m:val="p"/>
                            </m:rPr>
                            <w:rPr>
                              <w:rFonts w:ascii="Cambria Math" w:hAnsi="Cambria Math"/>
                            </w:rPr>
                            <m:t>-1</m:t>
                          </m:r>
                        </m:num>
                        <m:den>
                          <m:r>
                            <w:rPr>
                              <w:rFonts w:ascii="Cambria Math" w:hAnsi="Cambria Math"/>
                            </w:rPr>
                            <m:t>ε</m:t>
                          </m:r>
                        </m:den>
                      </m:f>
                    </m:sup>
                  </m:sSubSup>
                </m:e>
              </m:d>
            </m:e>
            <m:sup>
              <m:f>
                <m:fPr>
                  <m:ctrlPr>
                    <w:rPr>
                      <w:rFonts w:ascii="Cambria Math" w:hAnsi="Cambria Math"/>
                    </w:rPr>
                  </m:ctrlPr>
                </m:fPr>
                <m:num>
                  <m:r>
                    <w:rPr>
                      <w:rFonts w:ascii="Cambria Math" w:hAnsi="Cambria Math"/>
                    </w:rPr>
                    <m:t>ε</m:t>
                  </m:r>
                </m:num>
                <m:den>
                  <m:r>
                    <w:rPr>
                      <w:rFonts w:ascii="Cambria Math" w:hAnsi="Cambria Math"/>
                    </w:rPr>
                    <m:t>ε</m:t>
                  </m:r>
                  <m:r>
                    <m:rPr>
                      <m:sty m:val="p"/>
                    </m:rPr>
                    <w:rPr>
                      <w:rFonts w:ascii="Cambria Math" w:hAnsi="Cambria Math"/>
                    </w:rPr>
                    <m:t>-1</m:t>
                  </m:r>
                </m:den>
              </m:f>
            </m:sup>
          </m:sSup>
          <m:r>
            <m:rPr>
              <m:sty m:val="p"/>
            </m:rPr>
            <w:rPr>
              <w:rFonts w:ascii="Cambria Math" w:eastAsiaTheme="minorEastAsia" w:hAnsi="Cambria Math"/>
            </w:rPr>
            <m:t>,</m:t>
          </m:r>
        </m:oMath>
      </m:oMathPara>
    </w:p>
    <w:p w14:paraId="6BF8C02A" w14:textId="4C447D30" w:rsidR="00A05BA6" w:rsidRDefault="001A66DC" w:rsidP="00A05BA6">
      <w:pPr>
        <w:pStyle w:val="BodyText"/>
      </w:pPr>
      <w:r w:rsidRPr="00B600AA">
        <w:t xml:space="preserve">where </w:t>
      </w:r>
      <m:oMath>
        <m:r>
          <w:rPr>
            <w:rFonts w:ascii="Cambria Math" w:hAnsi="Cambria Math"/>
          </w:rPr>
          <m:t>ε&gt;1</m:t>
        </m:r>
      </m:oMath>
      <w:r w:rsidRPr="00B600AA">
        <w:t xml:space="preserve"> is </w:t>
      </w:r>
      <w:r w:rsidR="00475A8D">
        <w:t>the</w:t>
      </w:r>
      <w:r w:rsidR="00475A8D" w:rsidRPr="00B600AA">
        <w:t xml:space="preserve"> </w:t>
      </w:r>
      <w:proofErr w:type="spellStart"/>
      <w:r w:rsidRPr="00B600AA">
        <w:t>intratemporal</w:t>
      </w:r>
      <w:proofErr w:type="spellEnd"/>
      <w:r w:rsidRPr="00B600AA">
        <w:t xml:space="preserve"> elasticity of substitution between rent</w:t>
      </w:r>
      <w:r w:rsidR="00A409ED">
        <w:t>ing and owning</w:t>
      </w:r>
      <w:r w:rsidR="00D53C5B">
        <w:t>, and</w:t>
      </w:r>
      <w:r w:rsidRPr="00B600AA">
        <w:t xml:space="preserve"> </w:t>
      </w:r>
      <m:oMath>
        <m:r>
          <w:rPr>
            <w:rFonts w:ascii="Cambria Math" w:hAnsi="Cambria Math"/>
          </w:rPr>
          <m:t>γ</m:t>
        </m:r>
      </m:oMath>
      <w:r w:rsidR="00350389" w:rsidRPr="00B600AA">
        <w:t xml:space="preserve">, </w:t>
      </w:r>
      <m:oMath>
        <m:r>
          <w:rPr>
            <w:rFonts w:ascii="Cambria Math" w:hAnsi="Cambria Math"/>
          </w:rPr>
          <m:t>0&lt;γ&lt;1</m:t>
        </m:r>
      </m:oMath>
      <w:r w:rsidRPr="00B600AA">
        <w:t xml:space="preserve"> is</w:t>
      </w:r>
      <w:r w:rsidR="00A409ED">
        <w:t xml:space="preserve"> the</w:t>
      </w:r>
      <w:r w:rsidR="00487A67" w:rsidRPr="00B600AA">
        <w:t xml:space="preserve"> relative weight </w:t>
      </w:r>
      <w:r w:rsidR="00A409ED" w:rsidRPr="00A409ED">
        <w:t xml:space="preserve">assigned </w:t>
      </w:r>
      <w:r w:rsidR="00A409ED">
        <w:t>to</w:t>
      </w:r>
      <w:r w:rsidR="00487A67" w:rsidRPr="00B600AA">
        <w:t xml:space="preserve"> ownership</w:t>
      </w:r>
      <w:r w:rsidR="00AA0E39" w:rsidRPr="00B600AA">
        <w:t xml:space="preserve">. </w:t>
      </w:r>
      <w:r w:rsidRPr="00A409ED">
        <w:t>If renting and owning were perfect substitutes, the elasticity would be infinite</w:t>
      </w:r>
      <w:r>
        <w:t xml:space="preserve"> (</w:t>
      </w:r>
      <m:oMath>
        <m:r>
          <w:rPr>
            <w:rFonts w:ascii="Cambria Math" w:hAnsi="Cambria Math"/>
          </w:rPr>
          <m:t>ε→∞</m:t>
        </m:r>
      </m:oMath>
      <w:r>
        <w:t>).</w:t>
      </w:r>
      <w:r w:rsidR="007A0C8D">
        <w:t xml:space="preserve"> </w:t>
      </w:r>
      <w:r w:rsidRPr="00A409ED">
        <w:t xml:space="preserve">In our framework, we assume that renting and owning are close substitutes but not perfect substitutes, which is a </w:t>
      </w:r>
      <w:r w:rsidR="006A0F71">
        <w:t xml:space="preserve">very </w:t>
      </w:r>
      <w:r w:rsidRPr="00A409ED">
        <w:t>plausible assumption given real-world housing market conditions.</w:t>
      </w:r>
      <w:r>
        <w:t xml:space="preserve"> </w:t>
      </w:r>
    </w:p>
    <w:p w14:paraId="42F24D99" w14:textId="4B8F323F" w:rsidR="00280704" w:rsidRDefault="001A66DC" w:rsidP="00CC404B">
      <w:pPr>
        <w:pStyle w:val="BodyText"/>
      </w:pPr>
      <w:r w:rsidRPr="0057005A">
        <w:t>Habit formation in consumption is incorporated into the model, reflecting its well-documented empirical relevance both internationally and in Israel (see, e.g.,</w:t>
      </w:r>
      <w:r w:rsidR="00CC404B">
        <w:t xml:space="preserve"> </w:t>
      </w:r>
      <w:r w:rsidR="00CC404B" w:rsidRPr="00CC404B">
        <w:rPr>
          <w:color w:val="0081AD"/>
        </w:rPr>
        <w:fldChar w:fldCharType="begin"/>
      </w:r>
      <w:r w:rsidR="00CC404B" w:rsidRPr="00CC404B">
        <w:rPr>
          <w:color w:val="0081AD"/>
        </w:rPr>
        <w:instrText xml:space="preserve"> ADDIN ZOTERO_ITEM CSL_CITATION {"citationID":"HNp6m9gC","properties":{"unsorted":false,"formattedCitation":"Argov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00CC404B" w:rsidRPr="00CC404B">
        <w:rPr>
          <w:color w:val="0081AD"/>
        </w:rPr>
        <w:fldChar w:fldCharType="separate"/>
      </w:r>
      <w:r w:rsidR="00CC404B" w:rsidRPr="00CC404B">
        <w:rPr>
          <w:rFonts w:ascii="Utopia" w:hAnsi="Utopia"/>
          <w:color w:val="0081AD"/>
        </w:rPr>
        <w:t>Argov et al. (2012)</w:t>
      </w:r>
      <w:r w:rsidR="00CC404B" w:rsidRPr="00CC404B">
        <w:rPr>
          <w:color w:val="0081AD"/>
        </w:rPr>
        <w:fldChar w:fldCharType="end"/>
      </w:r>
      <w:r w:rsidRPr="0057005A">
        <w:t xml:space="preserve">). Although we do not explicitly model habit formation in housing, as in </w:t>
      </w:r>
      <w:r w:rsidR="00CC404B" w:rsidRPr="006F1966">
        <w:rPr>
          <w:rFonts w:asciiTheme="majorHAnsi" w:hAnsiTheme="majorHAnsi" w:cs="David"/>
          <w:color w:val="0081AD"/>
          <w:lang w:bidi="he-IL"/>
        </w:rPr>
        <w:fldChar w:fldCharType="begin"/>
      </w:r>
      <w:r w:rsidR="00CC404B">
        <w:rPr>
          <w:rFonts w:asciiTheme="majorHAnsi" w:hAnsiTheme="majorHAnsi" w:cs="David"/>
          <w:color w:val="0081AD"/>
          <w:lang w:bidi="he-IL"/>
        </w:rPr>
        <w:instrText xml:space="preserve"> ADDIN ZOTERO_ITEM CSL_CITATION {"citationID":"pv8RZNbQ","properties":{"formattedCitation":"Sun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CC404B" w:rsidRPr="006F1966">
        <w:rPr>
          <w:rFonts w:asciiTheme="majorHAnsi" w:hAnsiTheme="majorHAnsi" w:cs="David"/>
          <w:color w:val="0081AD"/>
          <w:lang w:bidi="he-IL"/>
        </w:rPr>
        <w:fldChar w:fldCharType="separate"/>
      </w:r>
      <w:r w:rsidR="00CC404B" w:rsidRPr="006F1966">
        <w:rPr>
          <w:rFonts w:asciiTheme="majorHAnsi" w:hAnsiTheme="majorHAnsi" w:cs="David"/>
          <w:color w:val="0081AD"/>
          <w:lang w:bidi="he-IL"/>
        </w:rPr>
        <w:t>Sun and Tsang (2017)</w:t>
      </w:r>
      <w:r w:rsidR="00CC404B" w:rsidRPr="006F1966">
        <w:rPr>
          <w:rFonts w:asciiTheme="majorHAnsi" w:hAnsiTheme="majorHAnsi" w:cs="David"/>
          <w:color w:val="0081AD"/>
          <w:lang w:bidi="he-IL"/>
        </w:rPr>
        <w:fldChar w:fldCharType="end"/>
      </w:r>
      <w:r w:rsidRPr="0057005A">
        <w:t xml:space="preserve">, the optimization problem for the two household types </w:t>
      </w:r>
      <w:r w:rsidRPr="00A22F11">
        <w:t>implicitly</w:t>
      </w:r>
      <w:r w:rsidRPr="0057005A">
        <w:t xml:space="preserve"> generates smooth housing dynamics. This arises </w:t>
      </w:r>
      <w:r w:rsidRPr="0057005A">
        <w:lastRenderedPageBreak/>
        <w:t>because the marginal utility from both ownership and renting depends directly on the marginal utility of consumption, which is smoothed by habit formation.</w:t>
      </w:r>
    </w:p>
    <w:p w14:paraId="76CAE838" w14:textId="77777777" w:rsidR="001C596A" w:rsidRPr="00B600AA" w:rsidRDefault="001A66DC" w:rsidP="00DA1C93">
      <w:pPr>
        <w:pStyle w:val="Heading3"/>
        <w:spacing w:line="276" w:lineRule="auto"/>
        <w:jc w:val="both"/>
      </w:pPr>
      <w:bookmarkStart w:id="16" w:name="OLE_LINK36"/>
      <w:r w:rsidRPr="00B600AA">
        <w:t>Borrowers</w:t>
      </w:r>
      <w:bookmarkEnd w:id="16"/>
      <w:r w:rsidR="009A0E96">
        <w:t xml:space="preserve"> (impatient </w:t>
      </w:r>
      <w:r w:rsidR="00E25E5B">
        <w:t>households</w:t>
      </w:r>
      <w:r w:rsidR="009A0E96">
        <w:t>)</w:t>
      </w:r>
    </w:p>
    <w:p w14:paraId="613BA8B9" w14:textId="0CB87173" w:rsidR="00F718A5" w:rsidRDefault="001B13C0" w:rsidP="00303373">
      <w:pPr>
        <w:pStyle w:val="BodyText"/>
      </w:pPr>
      <w:r>
        <w:t>Impatient h</w:t>
      </w:r>
      <w:r w:rsidR="001A66DC" w:rsidRPr="00F718A5">
        <w:t xml:space="preserve">ouseholds that take </w:t>
      </w:r>
      <w:r w:rsidR="000F2BF7">
        <w:t xml:space="preserve">on </w:t>
      </w:r>
      <w:r w:rsidR="001A66DC" w:rsidRPr="00F718A5">
        <w:t>long-term debt</w:t>
      </w:r>
      <w:r w:rsidR="00821688">
        <w:t xml:space="preserve"> (as in</w:t>
      </w:r>
      <w:r w:rsidR="00303373">
        <w:t xml:space="preserve"> </w:t>
      </w:r>
      <w:r w:rsidR="00303373" w:rsidRPr="00303373">
        <w:rPr>
          <w:color w:val="0081AD"/>
        </w:rPr>
        <w:fldChar w:fldCharType="begin"/>
      </w:r>
      <w:r w:rsidR="00303373" w:rsidRPr="00303373">
        <w:rPr>
          <w:color w:val="0081AD"/>
        </w:rPr>
        <w:instrText xml:space="preserve"> ADDIN ZOTERO_ITEM CSL_CITATION {"citationID":"EpSTuSUX","properties":{"unsorted":false,"formattedCitation":"Alpanda and Zubairy (2017)","plainCitation":"Alpanda and Zubairy (2017)","noteIndex":0},"citationItems":[{"id":1669,"uris":["http://zotero.org/users/6680486/items/TMZEX3Q5"],"itemData":{"id":1669,"type":"article-journal","abstract":"In this paper, we build a dynamic stochastic general-equilibrium model with housing and household debt, and compare the e</w:instrText>
      </w:r>
      <w:r w:rsidR="00303373" w:rsidRPr="00303373">
        <w:rPr>
          <w:rFonts w:ascii="Arial" w:hAnsi="Arial" w:cs="Arial"/>
          <w:color w:val="0081AD"/>
        </w:rPr>
        <w:instrText>ﬀ</w:instrText>
      </w:r>
      <w:r w:rsidR="00303373" w:rsidRPr="00303373">
        <w:rPr>
          <w:color w:val="0081AD"/>
        </w:rPr>
        <w:instrText xml:space="preserve">ectiveness of monetary policy, housing-related </w:instrText>
      </w:r>
      <w:r w:rsidR="00303373" w:rsidRPr="00303373">
        <w:rPr>
          <w:rFonts w:ascii="Utopia" w:hAnsi="Utopia" w:cs="Utopia"/>
          <w:color w:val="0081AD"/>
        </w:rPr>
        <w:instrText>ﬁ</w:instrText>
      </w:r>
      <w:r w:rsidR="00303373" w:rsidRPr="00303373">
        <w:rPr>
          <w:color w:val="0081AD"/>
        </w:rPr>
        <w:instrText>scal policy, and macroprudential regulations in reducing household indebtedness. Excessive household debt arises due to exuberance shocks on house price expectations, which drive a wedge between the actual and the underlying fundamental value of houses. The estimated model also features longterm ﬁxed-rate borrowing and lending across two types of households, and di</w:instrText>
      </w:r>
      <w:r w:rsidR="00303373" w:rsidRPr="00303373">
        <w:rPr>
          <w:rFonts w:ascii="Arial" w:hAnsi="Arial" w:cs="Arial"/>
          <w:color w:val="0081AD"/>
        </w:rPr>
        <w:instrText>ﬀ</w:instrText>
      </w:r>
      <w:r w:rsidR="00303373" w:rsidRPr="00303373">
        <w:rPr>
          <w:color w:val="0081AD"/>
        </w:rPr>
        <w:instrText xml:space="preserve">erentiates between the </w:instrText>
      </w:r>
      <w:r w:rsidR="00303373" w:rsidRPr="00303373">
        <w:rPr>
          <w:rFonts w:ascii="Utopia" w:hAnsi="Utopia" w:cs="Utopia"/>
          <w:color w:val="0081AD"/>
        </w:rPr>
        <w:instrText>ﬂ</w:instrText>
      </w:r>
      <w:r w:rsidR="00303373" w:rsidRPr="00303373">
        <w:rPr>
          <w:color w:val="0081AD"/>
        </w:rPr>
        <w:instrText xml:space="preserve">ow and the stock of household debt. Our main </w:instrText>
      </w:r>
      <w:r w:rsidR="00303373" w:rsidRPr="00303373">
        <w:rPr>
          <w:rFonts w:ascii="Utopia" w:hAnsi="Utopia" w:cs="Utopia"/>
          <w:color w:val="0081AD"/>
        </w:rPr>
        <w:instrText>ﬁ</w:instrText>
      </w:r>
      <w:r w:rsidR="00303373" w:rsidRPr="00303373">
        <w:rPr>
          <w:color w:val="0081AD"/>
        </w:rPr>
        <w:instrText>ndings can be summarized as follows: (i) Monetary tightening is able to reduce the stock of real mortgage debt, but leads to an increase in the household debt-to-income ratio. (ii) Among the policy tools we consider, tightening in mortgage interest deduction and regulatory loan-to-value (LTV) are the most e</w:instrText>
      </w:r>
      <w:r w:rsidR="00303373" w:rsidRPr="00303373">
        <w:rPr>
          <w:rFonts w:ascii="Arial" w:hAnsi="Arial" w:cs="Arial"/>
          <w:color w:val="0081AD"/>
        </w:rPr>
        <w:instrText>ﬀ</w:instrText>
      </w:r>
      <w:r w:rsidR="00303373" w:rsidRPr="00303373">
        <w:rPr>
          <w:color w:val="0081AD"/>
        </w:rPr>
        <w:instrText>ective and least costly in reducing household debt, followed by increasing property taxes and monetary tightening. (iii) Although mortgage interest deduction is a broader tool than regulatory LTV, and therefore potentially more costly in terms of output loss, it is e</w:instrText>
      </w:r>
      <w:r w:rsidR="00303373" w:rsidRPr="00303373">
        <w:rPr>
          <w:rFonts w:ascii="Arial" w:hAnsi="Arial" w:cs="Arial"/>
          <w:color w:val="0081AD"/>
        </w:rPr>
        <w:instrText>ﬀ</w:instrText>
      </w:r>
      <w:r w:rsidR="00303373" w:rsidRPr="00303373">
        <w:rPr>
          <w:color w:val="0081AD"/>
        </w:rPr>
        <w:instrText xml:space="preserve">ective in reducing overall mortgage debt, since its direct reach also extends to home equity loans. (iv) Lowering regulatory LTV and mortgage interest deductions from their current levels would be welfare improving, while we ﬁnd weak support for systematic leaning against household imbalances through monetary policy.","citation-key":"alpandaAddressingHouseholdIndebtedness2017","container-title":"European Economic Review","DOI":"10.1016/j.euroecorev.2016.11.004","ISSN":"00142921","journalAbbreviation":"European Economic Review","language":"en","page":"47-73","source":"DOI.org (Crossref)","title":"Addressing Household Indebtedness: Monetary, Fiscal or Macroprudential Policy?","title-short":"Addressing household indebtedness","volume":"92","author":[{"family":"Alpanda","given":"Sami"},{"family":"Zubairy","given":"Sarah"}],"issued":{"date-parts":[["2017",2]]}}}],"schema":"https://github.com/citation-style-language/schema/raw/master/csl-citation.json"} </w:instrText>
      </w:r>
      <w:r w:rsidR="00303373" w:rsidRPr="00303373">
        <w:rPr>
          <w:color w:val="0081AD"/>
        </w:rPr>
        <w:fldChar w:fldCharType="separate"/>
      </w:r>
      <w:r w:rsidR="00303373" w:rsidRPr="00303373">
        <w:rPr>
          <w:rFonts w:ascii="Utopia" w:hAnsi="Utopia"/>
          <w:color w:val="0081AD"/>
        </w:rPr>
        <w:t>Alpanda and Zubairy (2017)</w:t>
      </w:r>
      <w:r w:rsidR="00303373" w:rsidRPr="00303373">
        <w:rPr>
          <w:color w:val="0081AD"/>
        </w:rPr>
        <w:fldChar w:fldCharType="end"/>
      </w:r>
      <w:r w:rsidR="00303373">
        <w:t>)</w:t>
      </w:r>
      <w:r w:rsidR="00E17C30">
        <w:t>:</w:t>
      </w:r>
      <w:r w:rsidR="001A66DC" w:rsidRPr="00F718A5">
        <w:t xml:space="preserve"> </w:t>
      </w:r>
    </w:p>
    <w:p w14:paraId="48C4AF20" w14:textId="096EEE9F" w:rsidR="00F718A5" w:rsidRPr="00F718A5" w:rsidRDefault="00000000" w:rsidP="006B39EF">
      <w:pPr>
        <w:pStyle w:val="BodyText"/>
      </w:pPr>
      <m:oMathPara>
        <m:oMath>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1-Υ</m:t>
              </m:r>
            </m:e>
          </m:d>
          <m:sSubSup>
            <m:sSubSupPr>
              <m:ctrlPr>
                <w:rPr>
                  <w:rFonts w:ascii="Cambria Math" w:hAnsi="Cambria Math"/>
                  <w:i/>
                </w:rPr>
              </m:ctrlPr>
            </m:sSubSupPr>
            <m:e>
              <m:r>
                <w:rPr>
                  <w:rFonts w:ascii="Cambria Math" w:hAnsi="Cambria Math"/>
                </w:rPr>
                <m:t>B</m:t>
              </m:r>
            </m:e>
            <m:sub>
              <m:r>
                <w:rPr>
                  <w:rFonts w:ascii="Cambria Math" w:hAnsi="Cambria Math"/>
                </w:rPr>
                <m:t>t-1</m:t>
              </m:r>
            </m:sub>
            <m:sup>
              <m:r>
                <w:rPr>
                  <w:rFonts w:ascii="Cambria Math" w:hAnsi="Cambria Math"/>
                </w:rPr>
                <m:t>'</m:t>
              </m:r>
            </m:sup>
          </m:sSubSup>
          <m:r>
            <w:rPr>
              <w:rFonts w:ascii="Cambria Math" w:eastAsiaTheme="minorEastAsia" w:hAnsi="Cambria Math"/>
            </w:rPr>
            <m:t>+</m:t>
          </m:r>
          <m:sSup>
            <m:sSupPr>
              <m:ctrlPr>
                <w:rPr>
                  <w:rFonts w:ascii="Cambria Math" w:hAnsi="Cambria Math"/>
                  <w:i/>
                </w:rPr>
              </m:ctrlPr>
            </m:sSupPr>
            <m:e>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e>
            <m:sup>
              <m:r>
                <w:rPr>
                  <w:rFonts w:ascii="Cambria Math" w:hAnsi="Cambria Math"/>
                </w:rPr>
                <m:t>New</m:t>
              </m:r>
            </m:sup>
          </m:sSup>
          <m:r>
            <w:rPr>
              <w:rFonts w:ascii="Cambria Math" w:hAnsi="Cambria Math"/>
            </w:rPr>
            <m:t xml:space="preserve">                          (1)</m:t>
          </m:r>
        </m:oMath>
      </m:oMathPara>
    </w:p>
    <w:p w14:paraId="3C7F4A5F" w14:textId="23C9B8ED" w:rsidR="00EB5545" w:rsidRDefault="001A66DC" w:rsidP="00B26BB7">
      <w:pPr>
        <w:pStyle w:val="BodyText"/>
      </w:pPr>
      <w:r>
        <w:t xml:space="preserve">where </w:t>
      </w:r>
      <m:oMath>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oMath>
      <w:r>
        <w:t xml:space="preserve"> is a stock of long-term debt</w:t>
      </w:r>
      <w:r w:rsidR="00BC1463">
        <w:t xml:space="preserve">, </w:t>
      </w:r>
      <m:oMath>
        <m:sSubSup>
          <m:sSubSupPr>
            <m:ctrlPr>
              <w:rPr>
                <w:rFonts w:ascii="Cambria Math" w:hAnsi="Cambria Math"/>
                <w:i/>
              </w:rPr>
            </m:ctrlPr>
          </m:sSubSupPr>
          <m:e>
            <m:r>
              <w:rPr>
                <w:rFonts w:ascii="Cambria Math" w:hAnsi="Cambria Math"/>
              </w:rPr>
              <m:t>B</m:t>
            </m:r>
            <m:ctrlPr>
              <w:rPr>
                <w:rFonts w:ascii="Cambria Math" w:hAnsi="Cambria Math"/>
                <w:i/>
                <w:iCs/>
              </w:rPr>
            </m:ctrlPr>
          </m:e>
          <m:sub>
            <m:r>
              <w:rPr>
                <w:rFonts w:ascii="Cambria Math" w:hAnsi="Cambria Math"/>
              </w:rPr>
              <m:t>t-1</m:t>
            </m:r>
            <m:ctrlPr>
              <w:rPr>
                <w:rFonts w:ascii="Cambria Math" w:hAnsi="Cambria Math"/>
                <w:i/>
                <w:iCs/>
              </w:rPr>
            </m:ctrlPr>
          </m:sub>
          <m:sup>
            <m:r>
              <w:rPr>
                <w:rFonts w:ascii="Cambria Math" w:hAnsi="Cambria Math"/>
              </w:rPr>
              <m:t>'</m:t>
            </m:r>
          </m:sup>
        </m:sSubSup>
      </m:oMath>
      <w:r w:rsidR="00BC1463">
        <w:t xml:space="preserve"> </w:t>
      </w:r>
      <w:r w:rsidR="00BC1463" w:rsidRPr="00CC3321">
        <w:t xml:space="preserve">is </w:t>
      </w:r>
      <w:r w:rsidR="007A4008">
        <w:t xml:space="preserve">a long-term </w:t>
      </w:r>
      <w:r w:rsidR="00BC1463" w:rsidRPr="00CC3321">
        <w:t>debt from the previous period</w:t>
      </w:r>
      <w:r>
        <w:t>,</w:t>
      </w:r>
      <w:r w:rsidRPr="00EB5545">
        <w:t xml:space="preserve"> and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e>
          <m:sup>
            <m:r>
              <w:rPr>
                <w:rFonts w:ascii="Cambria Math" w:hAnsi="Cambria Math"/>
              </w:rPr>
              <m:t>New</m:t>
            </m:r>
          </m:sup>
        </m:sSup>
      </m:oMath>
      <w:r w:rsidRPr="00EB5545">
        <w:t xml:space="preserve"> is a new debt. </w:t>
      </w:r>
      <m:oMath>
        <m:r>
          <w:rPr>
            <w:rFonts w:ascii="Cambria Math" w:hAnsi="Cambria Math"/>
          </w:rPr>
          <m:t>Υ</m:t>
        </m:r>
      </m:oMath>
      <w:r w:rsidRPr="00EB5545">
        <w:t xml:space="preserve"> </w:t>
      </w:r>
      <w:r w:rsidR="00540F34">
        <w:t xml:space="preserve">represents the fixed rate at which </w:t>
      </w:r>
      <w:r w:rsidR="00CC3473">
        <w:t>debt</w:t>
      </w:r>
      <w:r w:rsidR="00540F34">
        <w:t xml:space="preserve"> principal is repaid</w:t>
      </w:r>
      <w:r w:rsidR="00D84338">
        <w:t xml:space="preserve"> each period</w:t>
      </w:r>
      <w:r w:rsidR="00540F34">
        <w:t>.</w:t>
      </w:r>
      <w:r w:rsidR="00B4629E">
        <w:t xml:space="preserve"> In </w:t>
      </w:r>
      <w:r w:rsidR="00387EB2">
        <w:t>the steady-state (</w:t>
      </w:r>
      <w:r w:rsidR="00B4629E">
        <w:t>SS</w:t>
      </w:r>
      <w:r w:rsidR="00387EB2">
        <w:t>)</w:t>
      </w:r>
      <w:r w:rsidR="00B4629E">
        <w:t xml:space="preserve"> </w:t>
      </w:r>
      <w:r w:rsidR="00393815">
        <w:t xml:space="preserve">this ratio also represents </w:t>
      </w:r>
      <w:r w:rsidR="00B4629E">
        <w:t xml:space="preserve">the share of new debt in </w:t>
      </w:r>
      <w:r w:rsidR="00393815">
        <w:t xml:space="preserve">the </w:t>
      </w:r>
      <w:r w:rsidR="00B4629E">
        <w:t xml:space="preserve">total stock of debt. </w:t>
      </w:r>
    </w:p>
    <w:p w14:paraId="7A54FFFD" w14:textId="1022D48E" w:rsidR="00363902" w:rsidRDefault="001A66DC" w:rsidP="005227F7">
      <w:pPr>
        <w:pStyle w:val="BodyText"/>
        <w:rPr>
          <w:lang w:bidi="he-IL"/>
        </w:rPr>
      </w:pPr>
      <w:r>
        <w:t>Our new debt issuance mechanism closely follows</w:t>
      </w:r>
      <w:r w:rsidR="00567915">
        <w:t xml:space="preserve"> </w:t>
      </w:r>
      <w:r w:rsidR="00567915" w:rsidRPr="00303373">
        <w:rPr>
          <w:color w:val="0081AD"/>
        </w:rPr>
        <w:fldChar w:fldCharType="begin"/>
      </w:r>
      <w:r w:rsidR="0001261F">
        <w:rPr>
          <w:color w:val="0081AD"/>
        </w:rPr>
        <w:instrText xml:space="preserve"> ADDIN ZOTERO_ITEM CSL_CITATION {"citationID":"9szzSIXO","properties":{"unsorted":false,"formattedCitation":"Alpanda and Zubairy (2017)","plainCitation":"Alpanda and Zubairy (2017)","noteIndex":0},"citationItems":[{"id":1669,"uris":["http://zotero.org/users/6680486/items/TMZEX3Q5"],"itemData":{"id":1669,"type":"article-journal","abstract":"In this paper, we build a dynamic stochastic general-equilibrium model with housing and household debt, and compare the e</w:instrText>
      </w:r>
      <w:r w:rsidR="0001261F">
        <w:rPr>
          <w:rFonts w:ascii="Arial" w:hAnsi="Arial" w:cs="Arial"/>
          <w:color w:val="0081AD"/>
        </w:rPr>
        <w:instrText>ﬀ</w:instrText>
      </w:r>
      <w:r w:rsidR="0001261F">
        <w:rPr>
          <w:color w:val="0081AD"/>
        </w:rPr>
        <w:instrText xml:space="preserve">ectiveness of monetary policy, housing-related </w:instrText>
      </w:r>
      <w:r w:rsidR="0001261F">
        <w:rPr>
          <w:rFonts w:ascii="Utopia" w:hAnsi="Utopia" w:cs="Utopia"/>
          <w:color w:val="0081AD"/>
        </w:rPr>
        <w:instrText>ﬁ</w:instrText>
      </w:r>
      <w:r w:rsidR="0001261F">
        <w:rPr>
          <w:color w:val="0081AD"/>
        </w:rPr>
        <w:instrText>scal policy, and macroprudential regulations in reducing household indebtedness. Excessive household debt arises due to exuberance shocks on house price expectations, which drive a wedge between the actual and the underlying fundamental value of houses. The estimated model also features longterm ﬁxed-rate borrowing and lending across two types of households, and di</w:instrText>
      </w:r>
      <w:r w:rsidR="0001261F">
        <w:rPr>
          <w:rFonts w:ascii="Arial" w:hAnsi="Arial" w:cs="Arial"/>
          <w:color w:val="0081AD"/>
        </w:rPr>
        <w:instrText>ﬀ</w:instrText>
      </w:r>
      <w:r w:rsidR="0001261F">
        <w:rPr>
          <w:color w:val="0081AD"/>
        </w:rPr>
        <w:instrText xml:space="preserve">erentiates between the </w:instrText>
      </w:r>
      <w:r w:rsidR="0001261F">
        <w:rPr>
          <w:rFonts w:ascii="Utopia" w:hAnsi="Utopia" w:cs="Utopia"/>
          <w:color w:val="0081AD"/>
        </w:rPr>
        <w:instrText>ﬂ</w:instrText>
      </w:r>
      <w:r w:rsidR="0001261F">
        <w:rPr>
          <w:color w:val="0081AD"/>
        </w:rPr>
        <w:instrText xml:space="preserve">ow and the stock of household debt. Our main </w:instrText>
      </w:r>
      <w:r w:rsidR="0001261F">
        <w:rPr>
          <w:rFonts w:ascii="Utopia" w:hAnsi="Utopia" w:cs="Utopia"/>
          <w:color w:val="0081AD"/>
        </w:rPr>
        <w:instrText>ﬁ</w:instrText>
      </w:r>
      <w:r w:rsidR="0001261F">
        <w:rPr>
          <w:color w:val="0081AD"/>
        </w:rPr>
        <w:instrText>ndings can be summarized as follows: (i) Monetary tightening is able to reduce the stock of real mortgage debt, but leads to an increase in the household debt-to-income ratio. (ii) Among the policy tools we consider, tightening in mortgage interest deduction and regulatory loan-to-value (LTV) are the most e</w:instrText>
      </w:r>
      <w:r w:rsidR="0001261F">
        <w:rPr>
          <w:rFonts w:ascii="Arial" w:hAnsi="Arial" w:cs="Arial"/>
          <w:color w:val="0081AD"/>
        </w:rPr>
        <w:instrText>ﬀ</w:instrText>
      </w:r>
      <w:r w:rsidR="0001261F">
        <w:rPr>
          <w:color w:val="0081AD"/>
        </w:rPr>
        <w:instrText>ective and least costly in reducing household debt, followed by increasing property taxes and monetary tightening. (iii) Although mortgage interest deduction is a broader tool than regulatory LTV, and therefore potentially more costly in terms of output loss, it is e</w:instrText>
      </w:r>
      <w:r w:rsidR="0001261F">
        <w:rPr>
          <w:rFonts w:ascii="Arial" w:hAnsi="Arial" w:cs="Arial"/>
          <w:color w:val="0081AD"/>
        </w:rPr>
        <w:instrText>ﬀ</w:instrText>
      </w:r>
      <w:r w:rsidR="0001261F">
        <w:rPr>
          <w:color w:val="0081AD"/>
        </w:rPr>
        <w:instrText xml:space="preserve">ective in reducing overall mortgage debt, since its direct reach also extends to home equity loans. (iv) Lowering regulatory LTV and mortgage interest deductions from their current levels would be welfare improving, while we ﬁnd weak support for systematic leaning against household imbalances through monetary policy.","citation-key":"alpandaAddressingHouseholdIndebtedness2017","container-title":"European Economic Review","DOI":"10.1016/j.euroecorev.2016.11.004","ISSN":"00142921","journalAbbreviation":"European Economic Review","language":"en","page":"47-73","source":"DOI.org (Crossref)","title":"Addressing Household Indebtedness: Monetary, Fiscal or Macroprudential Policy?","title-short":"Addressing household indebtedness","volume":"92","author":[{"family":"Alpanda","given":"Sami"},{"family":"Zubairy","given":"Sarah"}],"issued":{"date-parts":[["2017",2]]}}}],"schema":"https://github.com/citation-style-language/schema/raw/master/csl-citation.json"} </w:instrText>
      </w:r>
      <w:r w:rsidR="00567915" w:rsidRPr="00303373">
        <w:rPr>
          <w:color w:val="0081AD"/>
        </w:rPr>
        <w:fldChar w:fldCharType="separate"/>
      </w:r>
      <w:r w:rsidR="00567915" w:rsidRPr="00303373">
        <w:rPr>
          <w:rFonts w:ascii="Utopia" w:hAnsi="Utopia"/>
          <w:color w:val="0081AD"/>
        </w:rPr>
        <w:t>Alpanda and Zubairy (2017)</w:t>
      </w:r>
      <w:r w:rsidR="00567915" w:rsidRPr="00303373">
        <w:rPr>
          <w:color w:val="0081AD"/>
        </w:rPr>
        <w:fldChar w:fldCharType="end"/>
      </w:r>
      <w:r w:rsidR="00B00D87">
        <w:t xml:space="preserve">, with </w:t>
      </w:r>
      <w:r w:rsidR="00CC105E">
        <w:t>one</w:t>
      </w:r>
      <w:r w:rsidR="00B00D87">
        <w:t xml:space="preserve"> modification</w:t>
      </w:r>
      <w:r>
        <w:t xml:space="preserve"> described below. Equation (2) represents the supply of new debt from commercial banks, which is subject to a time-varying regulatory Loan-to-Value (</w:t>
      </w:r>
      <m:oMath>
        <m:sSub>
          <m:sSubPr>
            <m:ctrlPr>
              <w:rPr>
                <w:rFonts w:ascii="Cambria Math" w:hAnsi="Cambria Math"/>
              </w:rPr>
            </m:ctrlPr>
          </m:sSubPr>
          <m:e>
            <m:r>
              <w:rPr>
                <w:rFonts w:ascii="Cambria Math" w:hAnsi="Cambria Math"/>
              </w:rPr>
              <m:t>LTV</m:t>
            </m:r>
          </m:e>
          <m:sub>
            <m:r>
              <w:rPr>
                <w:rFonts w:ascii="Cambria Math" w:hAnsi="Cambria Math"/>
              </w:rPr>
              <m:t>t</m:t>
            </m:r>
          </m:sub>
        </m:sSub>
        <m:r>
          <w:rPr>
            <w:rFonts w:ascii="Cambria Math" w:hAnsi="Cambria Math"/>
          </w:rPr>
          <m:t>)</m:t>
        </m:r>
      </m:oMath>
      <w:r w:rsidRPr="004D391A">
        <w:rPr>
          <w:lang w:bidi="he-IL"/>
        </w:rPr>
        <w:t xml:space="preserve"> </w:t>
      </w:r>
      <w:r>
        <w:t xml:space="preserve"> limit. In general, Equation (2) is expressed as an inequality. In our model, however, we assume that it always holds with equality. This assumption is justified for </w:t>
      </w:r>
      <w:r w:rsidR="005227F7">
        <w:t>the following reason:</w:t>
      </w:r>
      <w:r>
        <w:t xml:space="preserve"> the new debt constraint in Equation (2) is already binding in the steady state. </w:t>
      </w:r>
      <w:r w:rsidR="005227F7">
        <w:t>I</w:t>
      </w:r>
      <w:r>
        <w:t>n the policy analysis presented in Section 6, we introduce two shocks—monetary policy and an LTV shock—that further tighten the constraint.</w:t>
      </w:r>
    </w:p>
    <w:p w14:paraId="29ED992D" w14:textId="167A6FB0" w:rsidR="00EB21DB" w:rsidRPr="00B600AA" w:rsidRDefault="00000000" w:rsidP="00F913FB">
      <w:pPr>
        <w:pStyle w:val="BodyText"/>
        <w:rPr>
          <w:rFonts w:asciiTheme="majorHAnsi" w:hAnsiTheme="majorHAnsi"/>
          <w:rtl/>
          <w:lang w:bidi="he-IL"/>
        </w:rPr>
      </w:pPr>
      <m:oMathPara>
        <m:oMathParaPr>
          <m:jc m:val="center"/>
        </m:oMathParaPr>
        <m:oMath>
          <m:sSup>
            <m:sSupPr>
              <m:ctrlPr>
                <w:rPr>
                  <w:rFonts w:ascii="Cambria Math" w:hAnsi="Cambria Math"/>
                  <w:i/>
                </w:rPr>
              </m:ctrlPr>
            </m:sSupPr>
            <m:e>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e>
            <m:sup>
              <m:r>
                <w:rPr>
                  <w:rFonts w:ascii="Cambria Math" w:hAnsi="Cambria Math"/>
                </w:rPr>
                <m:t>New</m:t>
              </m:r>
            </m:sup>
          </m:sSup>
          <m:r>
            <w:rPr>
              <w:rFonts w:ascii="Cambria Math" w:hAnsi="Cambria Math"/>
            </w:rPr>
            <m:t>≤  LT</m:t>
          </m:r>
          <m:sSub>
            <m:sSubPr>
              <m:ctrlPr>
                <w:rPr>
                  <w:rFonts w:ascii="Cambria Math" w:hAnsi="Cambria Math"/>
                  <w:i/>
                </w:rPr>
              </m:ctrlPr>
            </m:sSubPr>
            <m:e>
              <m:r>
                <w:rPr>
                  <w:rFonts w:ascii="Cambria Math" w:hAnsi="Cambria Math"/>
                </w:rPr>
                <m:t>V</m:t>
              </m:r>
            </m:e>
            <m:sub>
              <m:r>
                <w:rPr>
                  <w:rFonts w:ascii="Cambria Math" w:hAnsi="Cambria Math"/>
                </w:rPr>
                <m:t>t</m:t>
              </m:r>
            </m:sub>
          </m:sSub>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o,t</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o,t-1</m:t>
                  </m:r>
                </m:sub>
                <m:sup>
                  <m:r>
                    <w:rPr>
                      <w:rFonts w:ascii="Cambria Math" w:hAnsi="Cambria Math"/>
                    </w:rPr>
                    <m:t>'</m:t>
                  </m:r>
                </m:sup>
              </m:sSubSup>
            </m:e>
          </m:d>
          <m:r>
            <w:rPr>
              <w:rFonts w:ascii="Cambria Math" w:hAnsi="Cambria Math"/>
            </w:rPr>
            <m:t xml:space="preserve"> + κ</m:t>
          </m:r>
          <m:d>
            <m:dPr>
              <m:ctrlPr>
                <w:rPr>
                  <w:rFonts w:ascii="Cambria Math" w:hAnsi="Cambria Math"/>
                  <w:i/>
                </w:rPr>
              </m:ctrlPr>
            </m:dPr>
            <m:e>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t</m:t>
                  </m:r>
                </m:sub>
              </m:sSub>
              <m:sSub>
                <m:sSubPr>
                  <m:ctrlPr>
                    <w:rPr>
                      <w:rFonts w:ascii="Cambria Math" w:hAnsi="Cambria Math"/>
                      <w:i/>
                    </w:rPr>
                  </m:ctrlPr>
                </m:sSubPr>
                <m:e>
                  <m:r>
                    <w:rPr>
                      <w:rFonts w:ascii="Cambria Math" w:hAnsi="Cambria Math"/>
                    </w:rPr>
                    <m:t>q</m:t>
                  </m:r>
                </m:e>
                <m:sub>
                  <m:r>
                    <w:rPr>
                      <w:rFonts w:ascii="Cambria Math" w:hAnsi="Cambria Math"/>
                    </w:rPr>
                    <m:t>t</m:t>
                  </m:r>
                </m:sub>
              </m:sSub>
              <m:sSubSup>
                <m:sSubSupPr>
                  <m:ctrlPr>
                    <w:rPr>
                      <w:rFonts w:ascii="Cambria Math" w:hAnsi="Cambria Math"/>
                      <w:i/>
                    </w:rPr>
                  </m:ctrlPr>
                </m:sSubSupPr>
                <m:e>
                  <m:r>
                    <w:rPr>
                      <w:rFonts w:ascii="Cambria Math" w:hAnsi="Cambria Math"/>
                    </w:rPr>
                    <m:t>h</m:t>
                  </m:r>
                </m:e>
                <m:sub>
                  <m:r>
                    <w:rPr>
                      <w:rFonts w:ascii="Cambria Math" w:hAnsi="Cambria Math"/>
                    </w:rPr>
                    <m:t>o,t-1</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1-Υ</m:t>
                  </m:r>
                </m:e>
              </m:d>
              <m:sSubSup>
                <m:sSubSupPr>
                  <m:ctrlPr>
                    <w:rPr>
                      <w:rFonts w:ascii="Cambria Math" w:hAnsi="Cambria Math"/>
                      <w:i/>
                    </w:rPr>
                  </m:ctrlPr>
                </m:sSubSupPr>
                <m:e>
                  <m:r>
                    <w:rPr>
                      <w:rFonts w:ascii="Cambria Math" w:hAnsi="Cambria Math"/>
                    </w:rPr>
                    <m:t>B</m:t>
                  </m:r>
                </m:e>
                <m:sub>
                  <m:r>
                    <w:rPr>
                      <w:rFonts w:ascii="Cambria Math" w:hAnsi="Cambria Math"/>
                    </w:rPr>
                    <m:t>t-1</m:t>
                  </m:r>
                </m:sub>
                <m:sup>
                  <m:r>
                    <w:rPr>
                      <w:rFonts w:ascii="Cambria Math" w:hAnsi="Cambria Math"/>
                    </w:rPr>
                    <m:t>'</m:t>
                  </m:r>
                </m:sup>
              </m:sSubSup>
            </m:e>
          </m:d>
          <m:r>
            <w:rPr>
              <w:rFonts w:ascii="Cambria Math" w:hAnsi="Cambria Math"/>
            </w:rPr>
            <m:t xml:space="preserve">         </m:t>
          </m:r>
          <m:d>
            <m:dPr>
              <m:ctrlPr>
                <w:rPr>
                  <w:rFonts w:ascii="Cambria Math" w:hAnsi="Cambria Math"/>
                </w:rPr>
              </m:ctrlPr>
            </m:dPr>
            <m:e>
              <m:r>
                <m:rPr>
                  <m:sty m:val="p"/>
                </m:rPr>
                <w:rPr>
                  <w:rFonts w:ascii="Cambria Math" w:hAnsi="Cambria Math"/>
                </w:rPr>
                <m:t>2</m:t>
              </m:r>
            </m:e>
          </m:d>
        </m:oMath>
      </m:oMathPara>
    </w:p>
    <w:p w14:paraId="1B1A2E63" w14:textId="471513D2" w:rsidR="00EB21DB" w:rsidRPr="00186137" w:rsidRDefault="001A66DC" w:rsidP="00F913FB">
      <w:pPr>
        <w:pStyle w:val="BodyText"/>
        <w:rPr>
          <w:rFonts w:asciiTheme="majorHAnsi" w:hAnsiTheme="majorHAnsi"/>
        </w:rPr>
      </w:pPr>
      <w:r w:rsidRPr="00186137">
        <w:rPr>
          <w:rFonts w:asciiTheme="majorHAnsi" w:hAnsiTheme="majorHAnsi"/>
        </w:rPr>
        <w:t xml:space="preserve">where </w:t>
      </w:r>
      <m:oMath>
        <m:sSub>
          <m:sSubPr>
            <m:ctrlPr>
              <w:rPr>
                <w:rFonts w:ascii="Cambria Math" w:hAnsi="Cambria Math"/>
                <w:i/>
                <w:iCs/>
              </w:rPr>
            </m:ctrlPr>
          </m:sSubPr>
          <m:e>
            <m:r>
              <w:rPr>
                <w:rFonts w:ascii="Cambria Math" w:hAnsi="Cambria Math"/>
              </w:rPr>
              <m:t>q</m:t>
            </m:r>
          </m:e>
          <m:sub>
            <m:r>
              <w:rPr>
                <w:rFonts w:ascii="Cambria Math" w:hAnsi="Cambria Math"/>
              </w:rPr>
              <m:t>t</m:t>
            </m:r>
          </m:sub>
        </m:sSub>
      </m:oMath>
      <w:r w:rsidRPr="00186137">
        <w:rPr>
          <w:rFonts w:asciiTheme="majorHAnsi" w:eastAsiaTheme="minorEastAsia" w:hAnsiTheme="majorHAnsi"/>
        </w:rPr>
        <w:t xml:space="preserve"> is the real price of one housing unit; </w:t>
      </w:r>
      <m:oMath>
        <m:sSubSup>
          <m:sSubSupPr>
            <m:ctrlPr>
              <w:rPr>
                <w:rFonts w:ascii="Cambria Math" w:hAnsi="Cambria Math"/>
                <w:i/>
                <w:iCs/>
              </w:rPr>
            </m:ctrlPr>
          </m:sSubSupPr>
          <m:e>
            <m:r>
              <w:rPr>
                <w:rFonts w:ascii="Cambria Math" w:hAnsi="Cambria Math"/>
              </w:rPr>
              <m:t>h</m:t>
            </m:r>
          </m:e>
          <m:sub>
            <m:r>
              <w:rPr>
                <w:rFonts w:ascii="Cambria Math" w:hAnsi="Cambria Math"/>
              </w:rPr>
              <m:t>o,t</m:t>
            </m:r>
          </m:sub>
          <m:sup>
            <m:r>
              <w:rPr>
                <w:rFonts w:ascii="Cambria Math" w:hAnsi="Cambria Math"/>
              </w:rPr>
              <m:t>'</m:t>
            </m:r>
          </m:sup>
        </m:sSubSup>
      </m:oMath>
      <w:r w:rsidR="00567915">
        <w:rPr>
          <w:rFonts w:asciiTheme="majorHAnsi" w:eastAsiaTheme="minorEastAsia" w:hAnsiTheme="majorHAnsi"/>
        </w:rPr>
        <w:t xml:space="preserve"> </w:t>
      </w:r>
      <w:r w:rsidRPr="00186137">
        <w:rPr>
          <w:rFonts w:asciiTheme="majorHAnsi" w:hAnsiTheme="majorHAnsi"/>
        </w:rPr>
        <w:t xml:space="preserve">is housing acquired this period (so </w:t>
      </w:r>
      <m:oMath>
        <m:r>
          <w:rPr>
            <w:rFonts w:ascii="Cambria Math" w:hAnsi="Cambria Math"/>
          </w:rPr>
          <m:t>∆</m:t>
        </m:r>
        <m:sSubSup>
          <m:sSubSupPr>
            <m:ctrlPr>
              <w:rPr>
                <w:rFonts w:ascii="Cambria Math" w:hAnsi="Cambria Math"/>
                <w:i/>
                <w:iCs/>
              </w:rPr>
            </m:ctrlPr>
          </m:sSubSupPr>
          <m:e>
            <m:r>
              <w:rPr>
                <w:rFonts w:ascii="Cambria Math" w:hAnsi="Cambria Math"/>
              </w:rPr>
              <m:t>h</m:t>
            </m:r>
          </m:e>
          <m:sub>
            <m:r>
              <w:rPr>
                <w:rFonts w:ascii="Cambria Math" w:hAnsi="Cambria Math"/>
              </w:rPr>
              <m:t>o,t</m:t>
            </m:r>
          </m:sub>
          <m:sup>
            <m:r>
              <w:rPr>
                <w:rFonts w:ascii="Cambria Math" w:hAnsi="Cambria Math"/>
              </w:rPr>
              <m:t>'</m:t>
            </m:r>
          </m:sup>
        </m:sSubSup>
        <m:r>
          <m:rPr>
            <m:sty m:val="p"/>
          </m:rPr>
          <w:rPr>
            <w:rFonts w:ascii="Cambria Math" w:hAnsi="Cambria Math"/>
          </w:rPr>
          <m:t xml:space="preserve"> </m:t>
        </m:r>
      </m:oMath>
      <w:r w:rsidRPr="00186137">
        <w:rPr>
          <w:rFonts w:asciiTheme="majorHAnsi" w:hAnsiTheme="majorHAnsi"/>
        </w:rPr>
        <w:t>measures the upgrade size);</w:t>
      </w:r>
      <m:oMath>
        <m:r>
          <m:rPr>
            <m:sty m:val="p"/>
          </m:rPr>
          <w:rPr>
            <w:rFonts w:ascii="Cambria Math" w:hAnsi="Cambria Math"/>
          </w:rPr>
          <m:t xml:space="preserve"> </m:t>
        </m:r>
        <m:r>
          <w:rPr>
            <w:rFonts w:ascii="Cambria Math" w:hAnsi="Cambria Math"/>
          </w:rPr>
          <m:t>κ</m:t>
        </m:r>
      </m:oMath>
      <w:r w:rsidRPr="00186137">
        <w:rPr>
          <w:rFonts w:asciiTheme="majorHAnsi" w:hAnsiTheme="majorHAnsi"/>
        </w:rPr>
        <w:t xml:space="preserve"> presents the proportion of existing home </w:t>
      </w:r>
      <w:r w:rsidR="00D94B32">
        <w:rPr>
          <w:rFonts w:asciiTheme="majorHAnsi" w:hAnsiTheme="majorHAnsi"/>
        </w:rPr>
        <w:t xml:space="preserve">net </w:t>
      </w:r>
      <w:r w:rsidRPr="00186137">
        <w:rPr>
          <w:rFonts w:asciiTheme="majorHAnsi" w:hAnsiTheme="majorHAnsi"/>
        </w:rPr>
        <w:t xml:space="preserve">equity that is </w:t>
      </w:r>
      <w:r w:rsidR="00BB6F88">
        <w:rPr>
          <w:rFonts w:asciiTheme="majorHAnsi" w:hAnsiTheme="majorHAnsi"/>
        </w:rPr>
        <w:t>used for a new credit</w:t>
      </w:r>
      <w:r w:rsidRPr="00186137">
        <w:rPr>
          <w:rFonts w:asciiTheme="majorHAnsi" w:hAnsiTheme="majorHAnsi"/>
        </w:rPr>
        <w:t xml:space="preserve">. </w:t>
      </w:r>
    </w:p>
    <w:p w14:paraId="56725A0A" w14:textId="4B239441" w:rsidR="00E603D4" w:rsidRDefault="001A66DC" w:rsidP="00D03954">
      <w:pPr>
        <w:pStyle w:val="BodyText"/>
      </w:pPr>
      <w:r>
        <w:t>T</w:t>
      </w:r>
      <w:r w:rsidRPr="00301E27">
        <w:t xml:space="preserve">he </w:t>
      </w:r>
      <w:r>
        <w:t>first</w:t>
      </w:r>
      <w:r w:rsidRPr="00301E27">
        <w:t xml:space="preserve"> term captures the borrowing constraint for housing improvers</w:t>
      </w:r>
      <w:r w:rsidR="00570478">
        <w:t>, which is subject to the LTV constraint</w:t>
      </w:r>
      <w:r w:rsidRPr="00301E27">
        <w:t>.</w:t>
      </w:r>
      <w:r>
        <w:t xml:space="preserve"> </w:t>
      </w:r>
      <w:r>
        <w:rPr>
          <w:rFonts w:asciiTheme="majorHAnsi" w:hAnsiTheme="majorHAnsi"/>
        </w:rPr>
        <w:t>They</w:t>
      </w:r>
      <w:r w:rsidR="003A2B88" w:rsidRPr="00186137">
        <w:rPr>
          <w:rFonts w:asciiTheme="majorHAnsi" w:hAnsiTheme="majorHAnsi"/>
        </w:rPr>
        <w:t xml:space="preserve"> are homeowners who sell their existing property to purchase a new home, often one t</w:t>
      </w:r>
      <w:r w:rsidR="003A2B88">
        <w:rPr>
          <w:rFonts w:asciiTheme="majorHAnsi" w:hAnsiTheme="majorHAnsi"/>
        </w:rPr>
        <w:t>hat is larger or more desirable.</w:t>
      </w:r>
      <w:r w:rsidR="003A2B88" w:rsidRPr="007B2A64">
        <w:t xml:space="preserve"> </w:t>
      </w:r>
      <w:r w:rsidRPr="00297A82">
        <w:t xml:space="preserve">The </w:t>
      </w:r>
      <w:r w:rsidR="00570478">
        <w:t>second</w:t>
      </w:r>
      <w:r w:rsidRPr="00575D58">
        <w:t xml:space="preserve"> term</w:t>
      </w:r>
      <w:r w:rsidRPr="00297A82">
        <w:t xml:space="preserve"> allows </w:t>
      </w:r>
      <w:r w:rsidRPr="0030665D">
        <w:t>housing improvers</w:t>
      </w:r>
      <w:r w:rsidRPr="00297A82">
        <w:t xml:space="preserve"> to refinance up to the regulatory limit on their previous-period housing stock, scaled by </w:t>
      </w:r>
      <m:oMath>
        <m:r>
          <m:rPr>
            <m:sty m:val="p"/>
          </m:rPr>
          <w:rPr>
            <w:rFonts w:ascii="Cambria Math" w:hAnsi="Cambria Math"/>
          </w:rPr>
          <m:t>κ</m:t>
        </m:r>
      </m:oMath>
      <w:r w:rsidRPr="00297A82">
        <w:t xml:space="preserve">. </w:t>
      </w:r>
      <w:r w:rsidR="000260F8" w:rsidRPr="00186137">
        <w:rPr>
          <w:rFonts w:asciiTheme="majorHAnsi" w:hAnsiTheme="majorHAnsi"/>
        </w:rPr>
        <w:t xml:space="preserve">In simpler terms, it means that </w:t>
      </w:r>
      <w:r w:rsidR="000260F8">
        <w:rPr>
          <w:rFonts w:asciiTheme="majorHAnsi" w:hAnsiTheme="majorHAnsi"/>
        </w:rPr>
        <w:t>h</w:t>
      </w:r>
      <w:r w:rsidR="000260F8" w:rsidRPr="00186137">
        <w:rPr>
          <w:rFonts w:asciiTheme="majorHAnsi" w:hAnsiTheme="majorHAnsi"/>
        </w:rPr>
        <w:t xml:space="preserve">ousing improvers with positive net equity at the beginning of period </w:t>
      </w:r>
      <w:r w:rsidR="000260F8" w:rsidRPr="00186137">
        <w:rPr>
          <w:rFonts w:asciiTheme="majorHAnsi" w:hAnsiTheme="majorHAnsi"/>
          <w:i/>
          <w:iCs/>
        </w:rPr>
        <w:t>t</w:t>
      </w:r>
      <w:r w:rsidR="000260F8" w:rsidRPr="00186137">
        <w:rPr>
          <w:rFonts w:asciiTheme="majorHAnsi" w:hAnsiTheme="majorHAnsi"/>
        </w:rPr>
        <w:t xml:space="preserve"> can borrow beyond the debt limit typically associated with home upgrades. </w:t>
      </w:r>
      <w:r w:rsidRPr="00297A82">
        <w:t xml:space="preserve">The time-varying regulatory </w:t>
      </w:r>
      <m:oMath>
        <m:r>
          <w:rPr>
            <w:rFonts w:ascii="Cambria Math" w:hAnsi="Cambria Math"/>
          </w:rPr>
          <m:t>LT</m:t>
        </m:r>
        <m:sSub>
          <m:sSubPr>
            <m:ctrlPr>
              <w:rPr>
                <w:rFonts w:ascii="Cambria Math" w:hAnsi="Cambria Math"/>
                <w:i/>
                <w:iCs/>
              </w:rPr>
            </m:ctrlPr>
          </m:sSubPr>
          <m:e>
            <m:r>
              <w:rPr>
                <w:rFonts w:ascii="Cambria Math" w:hAnsi="Cambria Math"/>
              </w:rPr>
              <m:t>V</m:t>
            </m:r>
          </m:e>
          <m:sub>
            <m:r>
              <w:rPr>
                <w:rFonts w:ascii="Cambria Math" w:hAnsi="Cambria Math"/>
              </w:rPr>
              <m:t>t</m:t>
            </m:r>
          </m:sub>
        </m:sSub>
      </m:oMath>
      <w:r w:rsidRPr="00095D23">
        <w:rPr>
          <w:rFonts w:ascii="Times New Roman" w:hAnsi="Times New Roman" w:cs="Times New Roman"/>
        </w:rPr>
        <w:t>​</w:t>
      </w:r>
      <w:r w:rsidRPr="00297A82">
        <w:t xml:space="preserve"> governs all components of new debt issuance and evolves exogenously with macroprudential policy (see Section 4). </w:t>
      </w:r>
    </w:p>
    <w:p w14:paraId="45C3ACED" w14:textId="26658C24" w:rsidR="00212863" w:rsidRDefault="00212863" w:rsidP="00567915">
      <w:pPr>
        <w:pStyle w:val="BodyText"/>
      </w:pPr>
      <w:r w:rsidRPr="00212863">
        <w:t>Equation (2) adapts the framework of</w:t>
      </w:r>
      <w:r w:rsidR="00567915">
        <w:t xml:space="preserve"> </w:t>
      </w:r>
      <w:r w:rsidR="00567915" w:rsidRPr="00567915">
        <w:rPr>
          <w:color w:val="0081AD"/>
          <w:rtl/>
          <w:lang w:bidi="he-IL"/>
        </w:rPr>
        <w:fldChar w:fldCharType="begin"/>
      </w:r>
      <w:r w:rsidR="0001261F">
        <w:rPr>
          <w:color w:val="0081AD"/>
        </w:rPr>
        <w:instrText xml:space="preserve"> ADDIN ZOTERO_ITEM CSL_CITATION {"citationID":"6KoHOFWK","properties":{"unsorted":false,"formattedCitation":"Alpanda and Zubairy (2017)","plainCitation":"Alpanda and Zubairy (2017)","noteIndex":0},"citationItems":[{"id":1669,"uris":["http://zotero.org/users/6680486/items/TMZEX3Q5"],"itemData":{"id":1669,"type":"article-journal","abstract":"In this paper, we build a dynamic stochastic general-equilibrium model with housing and household debt, and compare the e</w:instrText>
      </w:r>
      <w:r w:rsidR="0001261F">
        <w:rPr>
          <w:rFonts w:ascii="Arial" w:hAnsi="Arial" w:cs="Arial"/>
          <w:color w:val="0081AD"/>
        </w:rPr>
        <w:instrText>ﬀ</w:instrText>
      </w:r>
      <w:r w:rsidR="0001261F">
        <w:rPr>
          <w:color w:val="0081AD"/>
        </w:rPr>
        <w:instrText xml:space="preserve">ectiveness of monetary policy, housing-related </w:instrText>
      </w:r>
      <w:r w:rsidR="0001261F">
        <w:rPr>
          <w:rFonts w:ascii="Utopia" w:hAnsi="Utopia" w:cs="Utopia"/>
          <w:color w:val="0081AD"/>
        </w:rPr>
        <w:instrText>ﬁ</w:instrText>
      </w:r>
      <w:r w:rsidR="0001261F">
        <w:rPr>
          <w:color w:val="0081AD"/>
        </w:rPr>
        <w:instrText>scal policy, and macroprudential regulations in reducing household indebtedness. Excessive household debt arises due to exuberance shocks on house price expectations, which drive a wedge between the actual and the underlying fundamental value of houses. The estimated model also features longterm ﬁxed-rate borrowing and lending across two types of households, and di</w:instrText>
      </w:r>
      <w:r w:rsidR="0001261F">
        <w:rPr>
          <w:rFonts w:ascii="Arial" w:hAnsi="Arial" w:cs="Arial"/>
          <w:color w:val="0081AD"/>
        </w:rPr>
        <w:instrText>ﬀ</w:instrText>
      </w:r>
      <w:r w:rsidR="0001261F">
        <w:rPr>
          <w:color w:val="0081AD"/>
        </w:rPr>
        <w:instrText xml:space="preserve">erentiates between the </w:instrText>
      </w:r>
      <w:r w:rsidR="0001261F">
        <w:rPr>
          <w:rFonts w:ascii="Utopia" w:hAnsi="Utopia" w:cs="Utopia"/>
          <w:color w:val="0081AD"/>
        </w:rPr>
        <w:instrText>ﬂ</w:instrText>
      </w:r>
      <w:r w:rsidR="0001261F">
        <w:rPr>
          <w:color w:val="0081AD"/>
        </w:rPr>
        <w:instrText xml:space="preserve">ow and the stock of household debt. Our main </w:instrText>
      </w:r>
      <w:r w:rsidR="0001261F">
        <w:rPr>
          <w:rFonts w:ascii="Utopia" w:hAnsi="Utopia" w:cs="Utopia"/>
          <w:color w:val="0081AD"/>
        </w:rPr>
        <w:instrText>ﬁ</w:instrText>
      </w:r>
      <w:r w:rsidR="0001261F">
        <w:rPr>
          <w:color w:val="0081AD"/>
        </w:rPr>
        <w:instrText>ndings can be summarized as follows: (i) Monetary tightening is able to reduce the stock of real mortgage debt, but leads to an increase in the household debt-to-income ratio. (ii) Among the policy tools we consider, tightening in mortgage interest deduction and regulatory loan-to-value (LTV) are the most e</w:instrText>
      </w:r>
      <w:r w:rsidR="0001261F">
        <w:rPr>
          <w:rFonts w:ascii="Arial" w:hAnsi="Arial" w:cs="Arial"/>
          <w:color w:val="0081AD"/>
        </w:rPr>
        <w:instrText>ﬀ</w:instrText>
      </w:r>
      <w:r w:rsidR="0001261F">
        <w:rPr>
          <w:color w:val="0081AD"/>
        </w:rPr>
        <w:instrText>ective and least costly in reducing household debt, followed by increasing property taxes and monetary tightening. (iii) Although mortgage interest deduction is a broader tool than regulatory LTV, and therefore potentially more costly in terms of output loss, it is e</w:instrText>
      </w:r>
      <w:r w:rsidR="0001261F">
        <w:rPr>
          <w:rFonts w:ascii="Arial" w:hAnsi="Arial" w:cs="Arial"/>
          <w:color w:val="0081AD"/>
        </w:rPr>
        <w:instrText>ﬀ</w:instrText>
      </w:r>
      <w:r w:rsidR="0001261F">
        <w:rPr>
          <w:color w:val="0081AD"/>
        </w:rPr>
        <w:instrText xml:space="preserve">ective in reducing overall mortgage debt, since its direct reach also extends to home equity loans. (iv) Lowering regulatory LTV and mortgage interest deductions from their current levels would be welfare improving, while we ﬁnd weak support for systematic leaning against household imbalances through monetary policy.","citation-key":"alpandaAddressingHouseholdIndebtedness2017","container-title":"European Economic Review","DOI":"10.1016/j.euroecorev.2016.11.004","ISSN":"00142921","journalAbbreviation":"European Economic Review","language":"en","page":"47-73","source":"DOI.org (Crossref)","title":"Addressing Household Indebtedness: Monetary, Fiscal or Macroprudential Policy?","title-short":"Addressing household indebtedness","volume":"92","author":[{"family":"Alpanda","given":"Sami"},{"family":"Zubairy","given":"Sarah"}],"issued":{"date-parts":[["2017",2]]}}}],"schema":"https://github.com/citation-style-language/schema/raw/master/csl-citation.json"} </w:instrText>
      </w:r>
      <w:r w:rsidR="00567915" w:rsidRPr="00567915">
        <w:rPr>
          <w:color w:val="0081AD"/>
          <w:rtl/>
          <w:lang w:bidi="he-IL"/>
        </w:rPr>
        <w:fldChar w:fldCharType="separate"/>
      </w:r>
      <w:r w:rsidR="00567915" w:rsidRPr="00567915">
        <w:rPr>
          <w:color w:val="0081AD"/>
        </w:rPr>
        <w:t>Alpanda and Zubairy (2017)</w:t>
      </w:r>
      <w:r w:rsidR="00567915" w:rsidRPr="00567915">
        <w:rPr>
          <w:color w:val="0081AD"/>
          <w:rtl/>
        </w:rPr>
        <w:fldChar w:fldCharType="end"/>
      </w:r>
      <w:r w:rsidRPr="00212863">
        <w:t xml:space="preserve"> to address two main limitations. First, in their model, when the depreciation rate is set to zero—as in our case—the steady-state stock of debt becomes independent of the LTV constraint. Second, their formulation permits borrowers who have </w:t>
      </w:r>
      <w:r w:rsidRPr="00212863">
        <w:lastRenderedPageBreak/>
        <w:t>recently taken out loans within the LTV limit to immediately expand their debt by leveraging their own net capital. To resolve these issues, we discount the value of existing housing by the LTV ratio, as reflected in the final term of Equation (2).</w:t>
      </w:r>
    </w:p>
    <w:p w14:paraId="0452A0C9" w14:textId="232AFDB1" w:rsidR="00C144FB" w:rsidRPr="00CE52DF" w:rsidRDefault="001A66DC" w:rsidP="00874BF2">
      <w:pPr>
        <w:pStyle w:val="BodyText"/>
        <w:rPr>
          <w:rFonts w:asciiTheme="majorHAnsi" w:hAnsiTheme="majorHAnsi"/>
        </w:rPr>
      </w:pPr>
      <w:r w:rsidRPr="00CE52DF">
        <w:rPr>
          <w:rFonts w:asciiTheme="majorHAnsi" w:hAnsiTheme="majorHAnsi"/>
        </w:rPr>
        <w:t>From Equations (1) and (2)</w:t>
      </w:r>
      <w:r w:rsidR="004A5E71" w:rsidRPr="00CE52DF">
        <w:rPr>
          <w:rFonts w:asciiTheme="majorHAnsi" w:hAnsiTheme="majorHAnsi"/>
        </w:rPr>
        <w:t>,</w:t>
      </w:r>
      <w:r w:rsidRPr="00CE52DF">
        <w:rPr>
          <w:rFonts w:asciiTheme="majorHAnsi" w:hAnsiTheme="majorHAnsi"/>
        </w:rPr>
        <w:t xml:space="preserve"> we can derive the </w:t>
      </w:r>
      <w:r w:rsidR="00874BF2" w:rsidRPr="00CE52DF">
        <w:rPr>
          <w:rFonts w:asciiTheme="majorHAnsi" w:hAnsiTheme="majorHAnsi"/>
        </w:rPr>
        <w:t>amount</w:t>
      </w:r>
      <w:r w:rsidRPr="00CE52DF">
        <w:rPr>
          <w:rFonts w:asciiTheme="majorHAnsi" w:hAnsiTheme="majorHAnsi"/>
        </w:rPr>
        <w:t xml:space="preserve"> of debt in steady state:</w:t>
      </w:r>
    </w:p>
    <w:p w14:paraId="70EEF8C9" w14:textId="3F1621D3" w:rsidR="00C144FB" w:rsidRPr="008D02AA" w:rsidRDefault="00000000" w:rsidP="007D248F">
      <w:pPr>
        <w:pStyle w:val="BodyText"/>
        <w:rPr>
          <w:rFonts w:asciiTheme="majorHAnsi" w:eastAsiaTheme="minorEastAsia" w:hAnsiTheme="majorHAnsi"/>
          <w:i/>
        </w:rPr>
      </w:pPr>
      <m:oMathPara>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κ</m:t>
              </m:r>
            </m:num>
            <m:den>
              <m:r>
                <w:rPr>
                  <w:rFonts w:ascii="Cambria Math" w:hAnsi="Cambria Math"/>
                </w:rPr>
                <m:t>Υ+κ</m:t>
              </m:r>
              <m:d>
                <m:dPr>
                  <m:ctrlPr>
                    <w:rPr>
                      <w:rFonts w:ascii="Cambria Math" w:hAnsi="Cambria Math"/>
                      <w:i/>
                    </w:rPr>
                  </m:ctrlPr>
                </m:dPr>
                <m:e>
                  <m:r>
                    <w:rPr>
                      <w:rFonts w:ascii="Cambria Math" w:hAnsi="Cambria Math"/>
                    </w:rPr>
                    <m:t>1-Υ</m:t>
                  </m:r>
                </m:e>
              </m:d>
            </m:den>
          </m:f>
          <m:sSubSup>
            <m:sSubSupPr>
              <m:ctrlPr>
                <w:rPr>
                  <w:rFonts w:ascii="Cambria Math" w:hAnsi="Cambria Math"/>
                  <w:i/>
                </w:rPr>
              </m:ctrlPr>
            </m:sSubSupPr>
            <m:e>
              <m:r>
                <w:rPr>
                  <w:rFonts w:ascii="Cambria Math" w:hAnsi="Cambria Math"/>
                </w:rPr>
                <m:t>LTVqh</m:t>
              </m:r>
            </m:e>
            <m:sub>
              <m:r>
                <w:rPr>
                  <w:rFonts w:ascii="Cambria Math" w:hAnsi="Cambria Math"/>
                </w:rPr>
                <m:t>o</m:t>
              </m:r>
            </m:sub>
            <m:sup>
              <m:r>
                <w:rPr>
                  <w:rFonts w:ascii="Cambria Math" w:hAnsi="Cambria Math"/>
                </w:rPr>
                <m:t>'</m:t>
              </m:r>
            </m:sup>
          </m:sSubSup>
          <m:r>
            <w:rPr>
              <w:rFonts w:ascii="Cambria Math" w:hAnsi="Cambria Math"/>
            </w:rPr>
            <m:t xml:space="preserve">   </m:t>
          </m:r>
        </m:oMath>
      </m:oMathPara>
    </w:p>
    <w:p w14:paraId="795517C6" w14:textId="71047C13" w:rsidR="00D345C4" w:rsidRDefault="00DC4048" w:rsidP="00DC4048">
      <w:pPr>
        <w:pStyle w:val="BodyText"/>
        <w:rPr>
          <w:rFonts w:asciiTheme="majorHAnsi" w:eastAsiaTheme="minorEastAsia" w:hAnsiTheme="majorHAnsi"/>
        </w:rPr>
      </w:pPr>
      <w:r w:rsidRPr="00DC4048">
        <w:rPr>
          <w:rFonts w:asciiTheme="majorHAnsi" w:eastAsiaTheme="minorEastAsia" w:hAnsiTheme="majorHAnsi"/>
        </w:rPr>
        <w:t>The steady-state amount of new borrowing is then:</w:t>
      </w:r>
    </w:p>
    <w:p w14:paraId="1ACB38F3" w14:textId="7C2EEA16" w:rsidR="00E32304" w:rsidRPr="008D02AA" w:rsidRDefault="00000000" w:rsidP="006B25F6">
      <w:pPr>
        <w:pStyle w:val="BodyText"/>
        <w:rPr>
          <w:rFonts w:asciiTheme="majorHAnsi" w:hAnsiTheme="majorHAnsi"/>
          <w:i/>
        </w:rPr>
      </w:pPr>
      <m:oMathPara>
        <m:oMath>
          <m:sSup>
            <m:sSupPr>
              <m:ctrlPr>
                <w:rPr>
                  <w:rFonts w:ascii="Cambria Math" w:hAnsi="Cambria Math"/>
                  <w:i/>
                </w:rPr>
              </m:ctrlPr>
            </m:sSupPr>
            <m:e>
              <m:sSup>
                <m:sSupPr>
                  <m:ctrlPr>
                    <w:rPr>
                      <w:rFonts w:ascii="Cambria Math" w:hAnsi="Cambria Math"/>
                      <w:i/>
                    </w:rPr>
                  </m:ctrlPr>
                </m:sSupPr>
                <m:e>
                  <m:r>
                    <w:rPr>
                      <w:rFonts w:ascii="Cambria Math" w:hAnsi="Cambria Math"/>
                    </w:rPr>
                    <m:t>B</m:t>
                  </m:r>
                </m:e>
                <m:sup>
                  <m:r>
                    <w:rPr>
                      <w:rFonts w:ascii="Cambria Math" w:hAnsi="Cambria Math"/>
                    </w:rPr>
                    <m:t>'</m:t>
                  </m:r>
                </m:sup>
              </m:sSup>
            </m:e>
            <m:sup>
              <m:r>
                <w:rPr>
                  <w:rFonts w:ascii="Cambria Math" w:hAnsi="Cambria Math"/>
                </w:rPr>
                <m:t>New</m:t>
              </m:r>
            </m:sup>
          </m:sSup>
          <m:r>
            <w:rPr>
              <w:rFonts w:ascii="Cambria Math" w:hAnsi="Cambria Math"/>
            </w:rPr>
            <m:t>=</m:t>
          </m:r>
          <m:f>
            <m:fPr>
              <m:ctrlPr>
                <w:rPr>
                  <w:rFonts w:ascii="Cambria Math" w:hAnsi="Cambria Math"/>
                  <w:i/>
                </w:rPr>
              </m:ctrlPr>
            </m:fPr>
            <m:num>
              <m:r>
                <w:rPr>
                  <w:rFonts w:ascii="Cambria Math" w:hAnsi="Cambria Math"/>
                </w:rPr>
                <m:t>Υκ</m:t>
              </m:r>
            </m:num>
            <m:den>
              <m:r>
                <w:rPr>
                  <w:rFonts w:ascii="Cambria Math" w:hAnsi="Cambria Math"/>
                </w:rPr>
                <m:t>Υ+κ</m:t>
              </m:r>
              <m:d>
                <m:dPr>
                  <m:ctrlPr>
                    <w:rPr>
                      <w:rFonts w:ascii="Cambria Math" w:hAnsi="Cambria Math"/>
                      <w:i/>
                    </w:rPr>
                  </m:ctrlPr>
                </m:dPr>
                <m:e>
                  <m:r>
                    <w:rPr>
                      <w:rFonts w:ascii="Cambria Math" w:hAnsi="Cambria Math"/>
                    </w:rPr>
                    <m:t>1-Υ</m:t>
                  </m:r>
                </m:e>
              </m:d>
            </m:den>
          </m:f>
          <m:sSubSup>
            <m:sSubSupPr>
              <m:ctrlPr>
                <w:rPr>
                  <w:rFonts w:ascii="Cambria Math" w:hAnsi="Cambria Math"/>
                  <w:i/>
                </w:rPr>
              </m:ctrlPr>
            </m:sSubSupPr>
            <m:e>
              <m:r>
                <w:rPr>
                  <w:rFonts w:ascii="Cambria Math" w:hAnsi="Cambria Math"/>
                </w:rPr>
                <m:t>LTVqh</m:t>
              </m:r>
            </m:e>
            <m:sub>
              <m:r>
                <w:rPr>
                  <w:rFonts w:ascii="Cambria Math" w:hAnsi="Cambria Math"/>
                </w:rPr>
                <m:t>o</m:t>
              </m:r>
            </m:sub>
            <m:sup>
              <m:r>
                <w:rPr>
                  <w:rFonts w:ascii="Cambria Math" w:hAnsi="Cambria Math"/>
                </w:rPr>
                <m:t>'</m:t>
              </m:r>
            </m:sup>
          </m:sSubSup>
          <m:r>
            <w:rPr>
              <w:rFonts w:ascii="Cambria Math" w:hAnsi="Cambria Math"/>
            </w:rPr>
            <m:t xml:space="preserve">  </m:t>
          </m:r>
        </m:oMath>
      </m:oMathPara>
    </w:p>
    <w:p w14:paraId="0154748F" w14:textId="3A9E8841" w:rsidR="00EA0E33" w:rsidRPr="00CE52DF" w:rsidRDefault="001A66DC" w:rsidP="00976EE6">
      <w:pPr>
        <w:pStyle w:val="BodyText"/>
        <w:rPr>
          <w:rFonts w:asciiTheme="majorHAnsi" w:hAnsiTheme="majorHAnsi"/>
        </w:rPr>
      </w:pPr>
      <w:r w:rsidRPr="00CE52DF">
        <w:rPr>
          <w:rFonts w:asciiTheme="majorHAnsi" w:hAnsiTheme="majorHAnsi"/>
        </w:rPr>
        <w:t xml:space="preserve">It is straightforward to observe that under the assumption </w:t>
      </w:r>
      <w:r w:rsidR="00AB4A6B">
        <w:rPr>
          <w:rFonts w:asciiTheme="majorHAnsi" w:hAnsiTheme="majorHAnsi"/>
        </w:rPr>
        <w:t xml:space="preserve">that </w:t>
      </w:r>
      <m:oMath>
        <m:r>
          <m:rPr>
            <m:sty m:val="p"/>
          </m:rPr>
          <w:rPr>
            <w:rFonts w:ascii="Cambria Math" w:hAnsi="Cambria Math"/>
          </w:rPr>
          <m:t>Υ=1 and κ</m:t>
        </m:r>
      </m:oMath>
      <w:r w:rsidR="00AB4A6B">
        <w:rPr>
          <w:rFonts w:asciiTheme="majorHAnsi" w:eastAsiaTheme="minorEastAsia" w:hAnsiTheme="majorHAnsi"/>
        </w:rPr>
        <w:t>=1</w:t>
      </w:r>
      <w:r w:rsidR="00AB4A6B">
        <w:rPr>
          <w:rFonts w:asciiTheme="majorHAnsi" w:hAnsiTheme="majorHAnsi"/>
        </w:rPr>
        <w:t>,</w:t>
      </w:r>
      <w:r w:rsidRPr="00CE52DF">
        <w:rPr>
          <w:rFonts w:asciiTheme="majorHAnsi" w:hAnsiTheme="majorHAnsi"/>
        </w:rPr>
        <w:t xml:space="preserve"> we obtain the following steady-state condition</w:t>
      </w:r>
      <w:r w:rsidR="00AB4A6B">
        <w:rPr>
          <w:rFonts w:asciiTheme="majorHAnsi" w:hAnsiTheme="majorHAnsi"/>
        </w:rPr>
        <w:t xml:space="preserve"> of one-period debt</w:t>
      </w:r>
      <w:r w:rsidRPr="00CE52DF">
        <w:rPr>
          <w:rFonts w:asciiTheme="majorHAnsi" w:hAnsiTheme="majorHAnsi"/>
        </w:rPr>
        <w:t>:</w:t>
      </w:r>
    </w:p>
    <w:p w14:paraId="200840DB" w14:textId="5D5A2B58" w:rsidR="00DA3597" w:rsidRPr="00E50DA8" w:rsidRDefault="00000000" w:rsidP="005C64A7">
      <w:pPr>
        <w:pStyle w:val="BodyText"/>
        <w:jc w:val="center"/>
        <w:rPr>
          <w:i/>
        </w:rPr>
      </w:pPr>
      <m:oMathPara>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B</m:t>
                  </m:r>
                </m:e>
                <m:sup>
                  <m:r>
                    <w:rPr>
                      <w:rFonts w:ascii="Cambria Math" w:hAnsi="Cambria Math"/>
                    </w:rPr>
                    <m:t>'</m:t>
                  </m:r>
                </m:sup>
              </m:sSup>
            </m:e>
            <m:sup>
              <m:r>
                <w:rPr>
                  <w:rFonts w:ascii="Cambria Math" w:hAnsi="Cambria Math"/>
                </w:rPr>
                <m:t>New</m:t>
              </m:r>
            </m:sup>
          </m:sSup>
          <m:r>
            <w:rPr>
              <w:rFonts w:ascii="Cambria Math" w:hAnsi="Cambria Math"/>
            </w:rPr>
            <m:t>=LTV⋅q</m:t>
          </m:r>
          <m:sSubSup>
            <m:sSubSupPr>
              <m:ctrlPr>
                <w:rPr>
                  <w:rFonts w:ascii="Cambria Math" w:hAnsi="Cambria Math"/>
                  <w:i/>
                </w:rPr>
              </m:ctrlPr>
            </m:sSubSupPr>
            <m:e>
              <m:r>
                <w:rPr>
                  <w:rFonts w:ascii="Cambria Math" w:hAnsi="Cambria Math"/>
                </w:rPr>
                <m:t>h</m:t>
              </m:r>
            </m:e>
            <m:sub>
              <m:r>
                <w:rPr>
                  <w:rFonts w:ascii="Cambria Math" w:hAnsi="Cambria Math"/>
                </w:rPr>
                <m:t>o</m:t>
              </m:r>
            </m:sub>
            <m:sup>
              <m:r>
                <w:rPr>
                  <w:rFonts w:ascii="Cambria Math" w:hAnsi="Cambria Math"/>
                </w:rPr>
                <m:t>'</m:t>
              </m:r>
            </m:sup>
          </m:sSubSup>
        </m:oMath>
      </m:oMathPara>
    </w:p>
    <w:p w14:paraId="77ACE028" w14:textId="77777777" w:rsidR="00AA0E39" w:rsidRPr="00B600AA" w:rsidRDefault="001A66DC" w:rsidP="00D53C5B">
      <w:pPr>
        <w:pStyle w:val="BodyText"/>
      </w:pPr>
      <w:r w:rsidRPr="00B600AA">
        <w:t>The budget constraint</w:t>
      </w:r>
      <w:r w:rsidR="0061324B">
        <w:t xml:space="preserve"> </w:t>
      </w:r>
      <w:r w:rsidR="00D53C5B">
        <w:t xml:space="preserve">is </w:t>
      </w:r>
      <w:r w:rsidR="009456B2" w:rsidRPr="00B600AA">
        <w:t xml:space="preserve">expressed in </w:t>
      </w:r>
      <w:r w:rsidR="0061324B">
        <w:t xml:space="preserve">real </w:t>
      </w:r>
      <w:r w:rsidR="009456B2" w:rsidRPr="00B600AA">
        <w:t>terms</w:t>
      </w:r>
      <w:r w:rsidR="0061324B">
        <w:t xml:space="preserve">, </w:t>
      </w:r>
      <w:r w:rsidR="00D53C5B">
        <w:t>meaning that it is</w:t>
      </w:r>
      <w:r w:rsidR="007A604E">
        <w:t xml:space="preserve"> in terms </w:t>
      </w:r>
      <w:r w:rsidR="0089769E" w:rsidRPr="00B600AA">
        <w:t xml:space="preserve">of consumption </w:t>
      </w:r>
      <w:r w:rsidR="007A604E">
        <w:t>(</w:t>
      </w:r>
      <w:r w:rsidR="0089769E" w:rsidRPr="00B600AA">
        <w:t>excluding housing</w:t>
      </w:r>
      <w:r w:rsidR="007A604E">
        <w:t xml:space="preserve">) </w:t>
      </w:r>
      <w:r w:rsidR="0061324B">
        <w:t>(</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oMath>
      <w:r w:rsidR="0089769E" w:rsidRPr="00B600AA">
        <w:t>):</w:t>
      </w:r>
    </w:p>
    <w:p w14:paraId="3E2058A1" w14:textId="02072D7B" w:rsidR="003A2619" w:rsidRPr="00682267" w:rsidRDefault="00000000" w:rsidP="00961FCD">
      <w:pPr>
        <w:pStyle w:val="BodyText"/>
        <w:spacing w:line="360" w:lineRule="auto"/>
        <w:jc w:val="center"/>
        <w:rPr>
          <w:rFonts w:asciiTheme="majorHAnsi" w:hAnsiTheme="majorHAnsi"/>
          <w:i/>
        </w:rPr>
      </w:pPr>
      <m:oMathPara>
        <m:oMath>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sSubSup>
            <m:sSubSupPr>
              <m:ctrlPr>
                <w:rPr>
                  <w:rFonts w:ascii="Cambria Math" w:hAnsi="Cambria Math"/>
                  <w:i/>
                </w:rPr>
              </m:ctrlPr>
            </m:sSubSupPr>
            <m:e>
              <m:r>
                <w:rPr>
                  <w:rFonts w:ascii="Cambria Math" w:hAnsi="Cambria Math"/>
                </w:rPr>
                <m:t>h</m:t>
              </m:r>
            </m:e>
            <m:sub>
              <m:r>
                <w:rPr>
                  <w:rFonts w:ascii="Cambria Math" w:hAnsi="Cambria Math"/>
                </w:rPr>
                <m:t>o,t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sSubSup>
            <m:sSubSupPr>
              <m:ctrlPr>
                <w:rPr>
                  <w:rFonts w:ascii="Cambria Math" w:hAnsi="Cambria Math"/>
                  <w:i/>
                </w:rPr>
              </m:ctrlPr>
            </m:sSubSupPr>
            <m:e>
              <m:r>
                <w:rPr>
                  <w:rFonts w:ascii="Cambria Math" w:hAnsi="Cambria Math"/>
                </w:rPr>
                <m:t>h</m:t>
              </m:r>
            </m:e>
            <m:sub>
              <m:r>
                <w:rPr>
                  <w:rFonts w:ascii="Cambria Math" w:hAnsi="Cambria Math"/>
                </w:rPr>
                <m:t>r,t</m:t>
              </m:r>
            </m:sub>
            <m:sup>
              <m:r>
                <w:rPr>
                  <w:rFonts w:ascii="Cambria Math" w:hAnsi="Cambria Math"/>
                </w:rPr>
                <m:t>'</m:t>
              </m:r>
            </m:sup>
          </m:sSub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L</m:t>
                  </m:r>
                </m:sup>
              </m:sSubSup>
              <m:r>
                <w:rPr>
                  <w:rFonts w:ascii="Cambria Math" w:hAnsi="Cambria Math"/>
                </w:rPr>
                <m:t>-1+Υ</m:t>
              </m:r>
            </m:e>
          </m:d>
          <m:sSubSup>
            <m:sSubSupPr>
              <m:ctrlPr>
                <w:rPr>
                  <w:rFonts w:ascii="Cambria Math" w:hAnsi="Cambria Math"/>
                  <w:i/>
                </w:rPr>
              </m:ctrlPr>
            </m:sSubSupPr>
            <m:e>
              <m:r>
                <w:rPr>
                  <w:rFonts w:ascii="Cambria Math" w:hAnsi="Cambria Math"/>
                </w:rPr>
                <m:t>B</m:t>
              </m:r>
            </m:e>
            <m:sub>
              <m:r>
                <w:rPr>
                  <w:rFonts w:ascii="Cambria Math" w:hAnsi="Cambria Math"/>
                </w:rPr>
                <m:t>t-1</m:t>
              </m:r>
            </m:sub>
            <m:sup>
              <m:r>
                <w:rPr>
                  <w:rFonts w:ascii="Cambria Math" w:hAnsi="Cambria Math"/>
                </w:rPr>
                <m:t>'</m:t>
              </m:r>
            </m:sup>
          </m:sSubSup>
          <m:r>
            <w:rPr>
              <w:rFonts w:ascii="Cambria Math" w:hAnsi="Cambria Math"/>
            </w:rPr>
            <m:t>=</m:t>
          </m:r>
          <m:sSup>
            <m:sSupPr>
              <m:ctrlPr>
                <w:rPr>
                  <w:rFonts w:ascii="Cambria Math" w:hAnsi="Cambria Math"/>
                  <w:i/>
                </w:rPr>
              </m:ctrlPr>
            </m:sSupPr>
            <m:e>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e>
            <m:sup>
              <m:r>
                <w:rPr>
                  <w:rFonts w:ascii="Cambria Math" w:hAnsi="Cambria Math"/>
                </w:rPr>
                <m:t>New</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sSubSup>
            <m:sSubSupPr>
              <m:ctrlPr>
                <w:rPr>
                  <w:rFonts w:ascii="Cambria Math" w:hAnsi="Cambria Math"/>
                  <w:i/>
                </w:rPr>
              </m:ctrlPr>
            </m:sSubSupPr>
            <m:e>
              <m:r>
                <w:rPr>
                  <w:rFonts w:ascii="Cambria Math" w:hAnsi="Cambria Math"/>
                </w:rPr>
                <m:t>h</m:t>
              </m:r>
            </m:e>
            <m:sub>
              <m:r>
                <w:rPr>
                  <w:rFonts w:ascii="Cambria Math" w:hAnsi="Cambria Math"/>
                </w:rPr>
                <m:t>o,t-1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t</m:t>
              </m:r>
            </m:sub>
            <m:sup>
              <m:r>
                <w:rPr>
                  <w:rFonts w:ascii="Cambria Math" w:hAnsi="Cambria Math"/>
                </w:rPr>
                <m:t>'</m:t>
              </m:r>
            </m:sup>
          </m:sSubSup>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m:t>
              </m:r>
            </m:sup>
          </m:sSubSup>
          <m:r>
            <w:rPr>
              <w:rFonts w:ascii="Cambria Math" w:hAnsi="Cambria Math"/>
            </w:rPr>
            <m:t xml:space="preserve">    (3)</m:t>
          </m:r>
        </m:oMath>
      </m:oMathPara>
    </w:p>
    <w:p w14:paraId="79F4DE8B" w14:textId="5358C5D3" w:rsidR="0020220B" w:rsidRPr="00BB0B06" w:rsidRDefault="001A66DC" w:rsidP="000F3040">
      <w:pPr>
        <w:pStyle w:val="BodyText"/>
      </w:pPr>
      <w:r>
        <w:t>w</w:t>
      </w:r>
      <w:r w:rsidR="003A2619" w:rsidRPr="007A604E">
        <w:t>here</w:t>
      </w:r>
      <w:r w:rsidR="007A604E">
        <w:t xml:space="preserve"> </w:t>
      </w:r>
      <w:r w:rsidR="00C07C5F" w:rsidRPr="00BB0B06">
        <w:t xml:space="preserve">on the </w:t>
      </w:r>
      <w:r>
        <w:t>left side</w:t>
      </w:r>
      <w:r w:rsidR="00695014" w:rsidRPr="00BB0B06">
        <w:t>:</w:t>
      </w:r>
      <w:r w:rsidR="006F3EA2" w:rsidRPr="00BB0B06">
        <w:t xml:space="preserve"> </w:t>
      </w: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m:t>
            </m:r>
          </m:sup>
        </m:sSubSup>
      </m:oMath>
      <w:r w:rsidR="00751BAD" w:rsidRPr="00BB0B06">
        <w:t xml:space="preserve"> is consumption (excl. housing),</w:t>
      </w:r>
      <w:r w:rsidR="00B966DB" w:rsidRPr="00BB0B06">
        <w:t xml:space="preserve"> </w:t>
      </w:r>
      <m:oMath>
        <m:sSub>
          <m:sSubPr>
            <m:ctrlPr>
              <w:rPr>
                <w:rFonts w:ascii="Cambria Math" w:hAnsi="Cambria Math"/>
              </w:rPr>
            </m:ctrlPr>
          </m:sSubPr>
          <m:e>
            <m:r>
              <w:rPr>
                <w:rFonts w:ascii="Cambria Math" w:hAnsi="Cambria Math"/>
              </w:rPr>
              <m:t>q</m:t>
            </m:r>
          </m:e>
          <m:sub>
            <m:r>
              <w:rPr>
                <w:rFonts w:ascii="Cambria Math" w:hAnsi="Cambria Math"/>
              </w:rPr>
              <m:t>t</m:t>
            </m:r>
          </m:sub>
        </m:sSub>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r>
              <m:rPr>
                <m:sty m:val="p"/>
              </m:rPr>
              <w:rPr>
                <w:rFonts w:ascii="Cambria Math" w:hAnsi="Cambria Math"/>
              </w:rPr>
              <m:t>'</m:t>
            </m:r>
          </m:sup>
        </m:sSubSup>
      </m:oMath>
      <w:r w:rsidR="00B966DB" w:rsidRPr="00BB0B06">
        <w:t xml:space="preserve"> is </w:t>
      </w:r>
      <w:r w:rsidR="00F1097A">
        <w:t>the</w:t>
      </w:r>
      <w:r w:rsidR="00F1097A" w:rsidRPr="00BB0B06">
        <w:t xml:space="preserve"> </w:t>
      </w:r>
      <w:r w:rsidR="00B966DB" w:rsidRPr="00BB0B06">
        <w:t xml:space="preserve">expenditure on </w:t>
      </w:r>
      <w:r>
        <w:t>dwe</w:t>
      </w:r>
      <w:r w:rsidR="00674FBF">
        <w:t>l</w:t>
      </w:r>
      <w:r>
        <w:t>lings</w:t>
      </w:r>
      <w:r w:rsidR="00B966DB" w:rsidRPr="00BB0B06">
        <w:t xml:space="preserve"> </w:t>
      </w:r>
      <w:r w:rsidR="00632220" w:rsidRPr="00BB0B06">
        <w:t>purchased for ownership</w:t>
      </w:r>
      <w:r w:rsidR="00297AC6" w:rsidRPr="00BB0B06">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r>
              <m:rPr>
                <m:sty m:val="p"/>
              </m:rPr>
              <w:rPr>
                <w:rFonts w:ascii="Cambria Math" w:hAnsi="Cambria Math"/>
              </w:rPr>
              <m:t>'</m:t>
            </m:r>
          </m:sup>
        </m:sSubSup>
      </m:oMath>
      <w:r w:rsidR="00F572D5" w:rsidRPr="00BB0B06">
        <w:t xml:space="preserve"> is </w:t>
      </w:r>
      <w:r w:rsidR="00F1097A">
        <w:t>the</w:t>
      </w:r>
      <w:r w:rsidR="00F1097A" w:rsidRPr="00BB0B06">
        <w:t xml:space="preserve"> </w:t>
      </w:r>
      <w:r w:rsidR="00F572D5" w:rsidRPr="00BB0B06">
        <w:t>expenditure</w:t>
      </w:r>
      <w:r w:rsidR="00016DE1" w:rsidRPr="00BB0B06">
        <w:t xml:space="preserve"> </w:t>
      </w:r>
      <w:r w:rsidR="00F572D5" w:rsidRPr="00BB0B06">
        <w:t>on rental services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F572D5" w:rsidRPr="00BB0B06">
        <w:t xml:space="preserve"> is </w:t>
      </w:r>
      <w:r w:rsidR="000C6430">
        <w:t>the</w:t>
      </w:r>
      <w:r w:rsidR="000C6430" w:rsidRPr="00BB0B06">
        <w:t xml:space="preserve"> </w:t>
      </w:r>
      <w:r w:rsidR="00F572D5" w:rsidRPr="00BB0B06">
        <w:t xml:space="preserve">real price of rental services and </w:t>
      </w:r>
      <m:oMath>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r>
              <m:rPr>
                <m:sty m:val="p"/>
              </m:rPr>
              <w:rPr>
                <w:rFonts w:ascii="Cambria Math" w:hAnsi="Cambria Math"/>
              </w:rPr>
              <m:t>'</m:t>
            </m:r>
          </m:sup>
        </m:sSubSup>
      </m:oMath>
      <w:r w:rsidR="00F572D5" w:rsidRPr="00BB0B06">
        <w:t xml:space="preserve"> is </w:t>
      </w:r>
      <w:r w:rsidR="000C6430">
        <w:t>the</w:t>
      </w:r>
      <w:r w:rsidR="000C6430" w:rsidRPr="00BB0B06">
        <w:t xml:space="preserve"> </w:t>
      </w:r>
      <w:r w:rsidR="00F572D5" w:rsidRPr="00BB0B06">
        <w:t xml:space="preserve">amount of rental services), </w:t>
      </w:r>
      <m:oMath>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L</m:t>
                </m:r>
              </m:sup>
            </m:sSubSup>
            <m:r>
              <w:rPr>
                <w:rFonts w:ascii="Cambria Math" w:hAnsi="Cambria Math"/>
              </w:rPr>
              <m:t>-1+Υ</m:t>
            </m:r>
          </m:e>
        </m:d>
        <m:sSubSup>
          <m:sSubSupPr>
            <m:ctrlPr>
              <w:rPr>
                <w:rFonts w:ascii="Cambria Math" w:hAnsi="Cambria Math"/>
                <w:i/>
              </w:rPr>
            </m:ctrlPr>
          </m:sSubSupPr>
          <m:e>
            <m:r>
              <w:rPr>
                <w:rFonts w:ascii="Cambria Math" w:hAnsi="Cambria Math"/>
              </w:rPr>
              <m:t>B</m:t>
            </m:r>
          </m:e>
          <m:sub>
            <m:r>
              <w:rPr>
                <w:rFonts w:ascii="Cambria Math" w:hAnsi="Cambria Math"/>
              </w:rPr>
              <m:t>t-1</m:t>
            </m:r>
          </m:sub>
          <m:sup>
            <m:r>
              <w:rPr>
                <w:rFonts w:ascii="Cambria Math" w:hAnsi="Cambria Math"/>
              </w:rPr>
              <m:t>'</m:t>
            </m:r>
          </m:sup>
        </m:sSubSup>
      </m:oMath>
      <w:r w:rsidR="008D02AA">
        <w:t xml:space="preserve"> </w:t>
      </w:r>
      <w:r w:rsidR="00FF619F" w:rsidRPr="00BB0B06">
        <w:t xml:space="preserve">is </w:t>
      </w:r>
      <w:r w:rsidR="00175541">
        <w:t>the</w:t>
      </w:r>
      <w:r w:rsidR="00175541" w:rsidRPr="00BB0B06">
        <w:t xml:space="preserve"> </w:t>
      </w:r>
      <w:r w:rsidR="00FF619F" w:rsidRPr="00BB0B06">
        <w:t>payment on</w:t>
      </w:r>
      <w:r w:rsidR="00335D34" w:rsidRPr="00BB0B06">
        <w:t xml:space="preserve"> debt from the previous period</w:t>
      </w:r>
      <w:r>
        <w:t>, and</w:t>
      </w:r>
      <w:r w:rsidR="00335D34" w:rsidRPr="00BB0B06">
        <w:t xml:space="preserve"> </w:t>
      </w:r>
      <m:oMath>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w:rPr>
                <w:rFonts w:ascii="Cambria Math" w:hAnsi="Cambria Math"/>
              </w:rPr>
              <m:t>L</m:t>
            </m:r>
          </m:sup>
        </m:sSubSup>
      </m:oMath>
      <w:r w:rsidR="00335D34" w:rsidRPr="00BB0B06">
        <w:t xml:space="preserve"> is </w:t>
      </w:r>
      <w:r w:rsidR="00175541">
        <w:t>the</w:t>
      </w:r>
      <w:r w:rsidR="00175541" w:rsidRPr="00BB0B06">
        <w:t xml:space="preserve"> </w:t>
      </w:r>
      <w:r w:rsidR="00335D34" w:rsidRPr="00BB0B06">
        <w:t>gross real interest rate on mortgages.</w:t>
      </w:r>
      <w:r w:rsidR="007F2B95">
        <w:t xml:space="preserve"> </w:t>
      </w:r>
      <w:r w:rsidR="00AC6F28">
        <w:t>We</w:t>
      </w:r>
      <w:r w:rsidR="007F2B95">
        <w:t xml:space="preserve"> neglect </w:t>
      </w:r>
      <w:r w:rsidRPr="00BB0B06">
        <w:t xml:space="preserve">transaction cost of purchased or sold </w:t>
      </w:r>
      <w:r>
        <w:t xml:space="preserve">dwellings, as well as their </w:t>
      </w:r>
      <w:r w:rsidR="007F2B95">
        <w:t>depreciation</w:t>
      </w:r>
      <w:r w:rsidRPr="00BB0B06">
        <w:t xml:space="preserve">. </w:t>
      </w:r>
    </w:p>
    <w:p w14:paraId="420A7454" w14:textId="1F783B97" w:rsidR="00FC61E6" w:rsidRPr="00BB0B06" w:rsidRDefault="001A66DC" w:rsidP="004C2105">
      <w:pPr>
        <w:pStyle w:val="BodyText"/>
      </w:pPr>
      <w:r w:rsidRPr="002A71DD">
        <w:t>On the</w:t>
      </w:r>
      <w:r w:rsidR="00D53C5B" w:rsidRPr="002A71DD">
        <w:t xml:space="preserve"> right side</w:t>
      </w:r>
      <w:r w:rsidRPr="002A71DD">
        <w:t>:</w:t>
      </w:r>
      <w:r w:rsidR="008D02AA">
        <w:t xml:space="preserve">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e>
          <m:sup>
            <m:r>
              <w:rPr>
                <w:rFonts w:ascii="Cambria Math" w:hAnsi="Cambria Math"/>
              </w:rPr>
              <m:t>New</m:t>
            </m:r>
          </m:sup>
        </m:sSup>
        <m:r>
          <w:rPr>
            <w:rFonts w:ascii="Cambria Math" w:hAnsi="Cambria Math"/>
          </w:rPr>
          <m:t xml:space="preserve"> </m:t>
        </m:r>
      </m:oMath>
      <w:r w:rsidR="00335D34" w:rsidRPr="002A71DD">
        <w:t xml:space="preserve">is </w:t>
      </w:r>
      <w:r w:rsidR="00247E41" w:rsidRPr="002A71DD">
        <w:t xml:space="preserve">the </w:t>
      </w:r>
      <w:r w:rsidR="00335D34" w:rsidRPr="002A71DD">
        <w:t xml:space="preserve">amount of </w:t>
      </w:r>
      <w:r w:rsidR="004C2105">
        <w:t xml:space="preserve">new </w:t>
      </w:r>
      <w:r w:rsidR="00335D34" w:rsidRPr="002A71DD">
        <w:t>(</w:t>
      </w:r>
      <w:r w:rsidR="00DF7662" w:rsidRPr="002A71DD">
        <w:t>real</w:t>
      </w:r>
      <w:r w:rsidR="00335D34" w:rsidRPr="002A71DD">
        <w:t xml:space="preserve">) debt, </w:t>
      </w:r>
      <m:oMath>
        <m:sSub>
          <m:sSubPr>
            <m:ctrlPr>
              <w:rPr>
                <w:rFonts w:ascii="Cambria Math" w:hAnsi="Cambria Math"/>
              </w:rPr>
            </m:ctrlPr>
          </m:sSubPr>
          <m:e>
            <m:r>
              <w:rPr>
                <w:rFonts w:ascii="Cambria Math" w:hAnsi="Cambria Math"/>
              </w:rPr>
              <m:t>q</m:t>
            </m:r>
          </m:e>
          <m:sub>
            <m:r>
              <w:rPr>
                <w:rFonts w:ascii="Cambria Math" w:hAnsi="Cambria Math"/>
              </w:rPr>
              <m:t>t</m:t>
            </m:r>
          </m:sub>
        </m:sSub>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-1</m:t>
            </m:r>
          </m:sub>
          <m:sup>
            <m:r>
              <m:rPr>
                <m:sty m:val="p"/>
              </m:rPr>
              <w:rPr>
                <w:rFonts w:ascii="Cambria Math" w:hAnsi="Cambria Math"/>
              </w:rPr>
              <m:t>'</m:t>
            </m:r>
          </m:sup>
        </m:sSubSup>
      </m:oMath>
      <w:r w:rsidR="00FF619F" w:rsidRPr="002A71DD">
        <w:t xml:space="preserve"> is </w:t>
      </w:r>
      <w:r w:rsidR="00247E41" w:rsidRPr="002A71DD">
        <w:t xml:space="preserve">the </w:t>
      </w:r>
      <w:r w:rsidR="001E04B8" w:rsidRPr="002A71DD">
        <w:t>value of</w:t>
      </w:r>
      <w:r w:rsidR="001E04B8" w:rsidRPr="00BB0B06">
        <w:t xml:space="preserve"> </w:t>
      </w:r>
      <w:r w:rsidR="00D53C5B">
        <w:t>dwellings</w:t>
      </w:r>
      <w:r w:rsidR="00B056DD" w:rsidRPr="00BB0B06">
        <w:t xml:space="preserve"> purchased</w:t>
      </w:r>
      <w:r w:rsidR="00B4673B" w:rsidRPr="00BB0B06">
        <w:t xml:space="preserve"> for ownership</w:t>
      </w:r>
      <w:r w:rsidR="00B056DD" w:rsidRPr="00BB0B06">
        <w:t xml:space="preserve"> in period </w:t>
      </w:r>
      <w:r w:rsidR="00B056DD" w:rsidRPr="00C60387">
        <w:rPr>
          <w:i/>
          <w:iCs/>
        </w:rPr>
        <w:t>t-1</w:t>
      </w:r>
      <w:r w:rsidR="001E04B8" w:rsidRPr="00BB0B06">
        <w:t xml:space="preserve"> and </w:t>
      </w:r>
      <w:r w:rsidR="00B0066B" w:rsidRPr="00BB0B06">
        <w:t xml:space="preserve">then </w:t>
      </w:r>
      <w:r w:rsidR="001E04B8" w:rsidRPr="00BB0B06">
        <w:t xml:space="preserve">sold in period </w:t>
      </w:r>
      <w:r w:rsidR="001E04B8" w:rsidRPr="00C60387">
        <w:rPr>
          <w:i/>
          <w:iCs/>
        </w:rPr>
        <w:t>t</w:t>
      </w:r>
      <w:r w:rsidR="00B056DD" w:rsidRPr="00BB0B06">
        <w:t xml:space="preserve">, </w:t>
      </w:r>
      <w:r w:rsidR="00B4673B" w:rsidRPr="00BB0B06">
        <w:t xml:space="preserve">and </w:t>
      </w:r>
      <m:oMath>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oMath>
      <w:r w:rsidR="00B4673B" w:rsidRPr="00BB0B06">
        <w:t xml:space="preserve"> is income from labor.</w:t>
      </w:r>
      <w:r w:rsidR="002713F8" w:rsidRPr="00BB0B06">
        <w:t xml:space="preserve"> </w:t>
      </w:r>
      <w:r w:rsidRPr="00BB0B06">
        <w:t xml:space="preserve">We </w:t>
      </w:r>
      <w:r w:rsidR="003F2391" w:rsidRPr="00BB0B06">
        <w:t xml:space="preserve">also </w:t>
      </w:r>
      <w:r w:rsidRPr="00BB0B06">
        <w:t xml:space="preserve">assume that </w:t>
      </w:r>
      <w:r w:rsidR="0019427B" w:rsidRPr="00BB0B06">
        <w:t xml:space="preserve">the </w:t>
      </w:r>
      <w:r w:rsidR="006A1739">
        <w:t>borrowers</w:t>
      </w:r>
      <w:r w:rsidRPr="00BB0B06">
        <w:t xml:space="preserve"> do not receive any dividends</w:t>
      </w:r>
      <w:r w:rsidR="004132ED" w:rsidRPr="00BB0B06">
        <w:t>,</w:t>
      </w:r>
      <w:r w:rsidRPr="00BB0B06">
        <w:t xml:space="preserve"> be</w:t>
      </w:r>
      <w:r w:rsidR="00B007AD" w:rsidRPr="00BB0B06">
        <w:t>cause they do not own any firm</w:t>
      </w:r>
      <w:r w:rsidR="00D53C5B">
        <w:t>s</w:t>
      </w:r>
      <w:r w:rsidR="00B007AD" w:rsidRPr="00BB0B06">
        <w:t>.</w:t>
      </w:r>
      <w:r w:rsidRPr="00BB0B06">
        <w:t xml:space="preserve"> We </w:t>
      </w:r>
      <w:r w:rsidR="00D53C5B">
        <w:t xml:space="preserve">also </w:t>
      </w:r>
      <w:r w:rsidRPr="00BB0B06">
        <w:t xml:space="preserve">assume that there </w:t>
      </w:r>
      <w:r w:rsidR="009D796B" w:rsidRPr="00BB0B06">
        <w:t>are</w:t>
      </w:r>
      <w:r w:rsidRPr="00BB0B06">
        <w:t xml:space="preserve"> no </w:t>
      </w:r>
      <w:r w:rsidR="007A604E" w:rsidRPr="00BB0B06">
        <w:t>taxes because</w:t>
      </w:r>
      <w:r w:rsidR="00B007AD" w:rsidRPr="00BB0B06">
        <w:t xml:space="preserve"> there is no government</w:t>
      </w:r>
      <w:r w:rsidR="00BF751B" w:rsidRPr="00BB0B06">
        <w:t xml:space="preserve"> in the model</w:t>
      </w:r>
      <w:r w:rsidR="00B007AD" w:rsidRPr="00BB0B06">
        <w:t>.</w:t>
      </w:r>
    </w:p>
    <w:p w14:paraId="5A24502B" w14:textId="3ECF12DA" w:rsidR="00D22A3C" w:rsidRDefault="00D22A3C" w:rsidP="007F66D9">
      <w:pPr>
        <w:pStyle w:val="BodyText"/>
      </w:pPr>
      <w:r w:rsidRPr="00D22A3C">
        <w:t>We consider two types of mortgage interest rates in our model, both indexed to the Consumer Price Index (CPI). The first is a fixed-rate mortgage, while the second is a variable-rate mortgage that moves one-to-one with the real central bank policy rate. The following section provides a detailed explanation of each type.</w:t>
      </w:r>
    </w:p>
    <w:p w14:paraId="7365C59A" w14:textId="3BA17879" w:rsidR="007F66D9" w:rsidRPr="006E1189" w:rsidRDefault="007F66D9" w:rsidP="007F66D9">
      <w:pPr>
        <w:pStyle w:val="BodyText"/>
        <w:rPr>
          <w:rFonts w:eastAsiaTheme="minorEastAsia"/>
          <w:i/>
          <w:iCs/>
          <w:u w:val="single"/>
        </w:rPr>
      </w:pPr>
      <w:r w:rsidRPr="006E1189">
        <w:rPr>
          <w:i/>
          <w:iCs/>
          <w:u w:val="single"/>
        </w:rPr>
        <w:t xml:space="preserve">The </w:t>
      </w:r>
      <w:r>
        <w:rPr>
          <w:i/>
          <w:iCs/>
          <w:u w:val="single"/>
        </w:rPr>
        <w:t>first</w:t>
      </w:r>
      <w:r w:rsidRPr="006E1189">
        <w:rPr>
          <w:i/>
          <w:iCs/>
          <w:u w:val="single"/>
        </w:rPr>
        <w:t xml:space="preserve"> type</w:t>
      </w:r>
      <w:r>
        <w:rPr>
          <w:i/>
          <w:iCs/>
          <w:u w:val="single"/>
        </w:rPr>
        <w:t xml:space="preserve">: </w:t>
      </w:r>
      <w:r w:rsidRPr="005F5BC1">
        <w:rPr>
          <w:i/>
          <w:iCs/>
          <w:u w:val="single"/>
        </w:rPr>
        <w:t>fixed-rate mortgage</w:t>
      </w:r>
    </w:p>
    <w:p w14:paraId="6C3EA18D" w14:textId="77777777" w:rsidR="004043C3" w:rsidRDefault="00963390" w:rsidP="00963390">
      <w:pPr>
        <w:pStyle w:val="BodyText"/>
      </w:pPr>
      <w:r>
        <w:lastRenderedPageBreak/>
        <w:t xml:space="preserve">In this case, which serves as our main benchmark, debt issued in previous periods is unaffected by current or future changes in the policy rate, as its interest rate is fixed at the time of issuance. </w:t>
      </w:r>
    </w:p>
    <w:p w14:paraId="53C715D1" w14:textId="13891744" w:rsidR="00963390" w:rsidRDefault="00963390" w:rsidP="00BE6453">
      <w:pPr>
        <w:pStyle w:val="BodyText"/>
      </w:pPr>
      <w:r>
        <w:t xml:space="preserve">When a borrower takes out a new mortgage in period </w:t>
      </w:r>
      <w:r w:rsidRPr="00712EB0">
        <w:rPr>
          <w:i/>
          <w:iCs/>
        </w:rPr>
        <w:t>t</w:t>
      </w:r>
      <w:r>
        <w:t xml:space="preserve">, the interest rate on that loan is </w:t>
      </w:r>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nor/>
          </m:rPr>
          <w:rPr>
            <w:rFonts w:ascii="Cambria" w:hAnsi="Cambria" w:cs="Cambria"/>
            <w:i/>
          </w:rPr>
          <m:t>ω</m:t>
        </m:r>
      </m:oMath>
      <w:r>
        <w:t xml:space="preserve">, where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denotes </w:t>
      </w:r>
      <w:r w:rsidR="00BE6453" w:rsidRPr="00E56FB3">
        <w:t xml:space="preserve">the (gross) short-term real </w:t>
      </w:r>
      <w:r>
        <w:t xml:space="preserve">central bank policy rate and </w:t>
      </w:r>
      <m:oMath>
        <m:r>
          <m:rPr>
            <m:nor/>
          </m:rPr>
          <w:rPr>
            <w:rFonts w:ascii="Cambria" w:hAnsi="Cambria" w:cs="Cambria"/>
            <w:i/>
            <w:iCs/>
          </w:rPr>
          <m:t>ω</m:t>
        </m:r>
      </m:oMath>
      <w:r w:rsidRPr="00E56FB3">
        <w:t xml:space="preserve"> </w:t>
      </w:r>
      <w:r>
        <w:t xml:space="preserve">is a </w:t>
      </w:r>
      <w:r w:rsidR="00637E08">
        <w:t xml:space="preserve">positive </w:t>
      </w:r>
      <w:r>
        <w:t xml:space="preserve">constant spread. Consequently, the average mortgage interest rate on the total stock of debt in period </w:t>
      </w:r>
      <w:r w:rsidR="004043C3" w:rsidRPr="00A4241D">
        <w:rPr>
          <w:i/>
          <w:iCs/>
        </w:rPr>
        <w:t>t</w:t>
      </w:r>
      <w:r>
        <w:t xml:space="preserve"> is given by</w:t>
      </w:r>
      <w:r w:rsidR="00A4241D">
        <w:t>:</w:t>
      </w:r>
    </w:p>
    <w:p w14:paraId="3F57A133" w14:textId="5E5F375A" w:rsidR="001F6638" w:rsidRDefault="00000000" w:rsidP="001F6638">
      <w:pPr>
        <w:pStyle w:val="BodyText"/>
        <w:jc w:val="center"/>
      </w:pPr>
      <m:oMathPara>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L</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'New</m:t>
                  </m:r>
                </m:sup>
              </m:sSubSup>
            </m:num>
            <m:den>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den>
          </m:f>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nor/>
                </m:rPr>
                <w:rPr>
                  <w:rFonts w:ascii="Cambria" w:hAnsi="Cambria" w:cs="Cambria"/>
                  <w:i/>
                </w:rPr>
                <m:t>ω</m:t>
              </m:r>
              <m:ctrlPr>
                <w:rPr>
                  <w:rFonts w:ascii="Cambria Math" w:eastAsiaTheme="minorEastAsia" w:hAnsi="Cambria Math"/>
                  <w:i/>
                </w:rPr>
              </m:ctrlPr>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'New</m:t>
                      </m:r>
                    </m:sup>
                  </m:sSubSup>
                </m:num>
                <m:den>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den>
              </m:f>
            </m:e>
          </m:d>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L</m:t>
              </m:r>
            </m:sup>
          </m:sSubSup>
        </m:oMath>
      </m:oMathPara>
    </w:p>
    <w:p w14:paraId="1FCFF453" w14:textId="23193482" w:rsidR="001F6638" w:rsidRDefault="001F6638" w:rsidP="001F6638">
      <w:pPr>
        <w:pStyle w:val="BodyText"/>
      </w:pPr>
      <w:r>
        <w:t xml:space="preserve">where </w:t>
      </w:r>
      <m:oMath>
        <m:f>
          <m:fPr>
            <m:ctrlPr>
              <w:rPr>
                <w:rFonts w:ascii="Cambria Math" w:hAnsi="Cambria Math"/>
                <w:i/>
              </w:rPr>
            </m:ctrlPr>
          </m:fPr>
          <m:num>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'New</m:t>
                </m:r>
              </m:sup>
            </m:sSubSup>
          </m:num>
          <m:den>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den>
        </m:f>
      </m:oMath>
      <w:r>
        <w:t xml:space="preserve"> represents the (time-varying) share of newly issued debt in the total outstanding debt, and </w:t>
      </w:r>
      <m:oMath>
        <m:r>
          <m:rPr>
            <m:sty m:val="p"/>
          </m:rPr>
          <w:rPr>
            <w:rFonts w:ascii="Cambria Math" w:hAnsi="Cambria Math"/>
          </w:rPr>
          <m:t xml:space="preserve"> </m:t>
        </m:r>
        <m:r>
          <w:rPr>
            <w:rFonts w:ascii="Cambria Math" w:hAnsi="Cambria Math"/>
          </w:rPr>
          <m:t>1-</m:t>
        </m:r>
        <m:f>
          <m:fPr>
            <m:ctrlPr>
              <w:rPr>
                <w:rFonts w:ascii="Cambria Math" w:hAnsi="Cambria Math"/>
                <w:i/>
                <w:iCs/>
              </w:rPr>
            </m:ctrlPr>
          </m:fPr>
          <m:num>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'New</m:t>
                </m:r>
              </m:sup>
            </m:sSubSup>
          </m:num>
          <m:den>
            <m:sSubSup>
              <m:sSubSupPr>
                <m:ctrlPr>
                  <w:rPr>
                    <w:rFonts w:ascii="Cambria Math" w:hAnsi="Cambria Math"/>
                    <w:i/>
                    <w:iCs/>
                  </w:rPr>
                </m:ctrlPr>
              </m:sSubSupPr>
              <m:e>
                <m:r>
                  <w:rPr>
                    <w:rFonts w:ascii="Cambria Math" w:hAnsi="Cambria Math"/>
                  </w:rPr>
                  <m:t>B</m:t>
                </m:r>
              </m:e>
              <m:sub>
                <m:r>
                  <w:rPr>
                    <w:rFonts w:ascii="Cambria Math" w:hAnsi="Cambria Math"/>
                  </w:rPr>
                  <m:t>t</m:t>
                </m:r>
              </m:sub>
              <m:sup>
                <m:r>
                  <w:rPr>
                    <w:rFonts w:ascii="Cambria Math" w:hAnsi="Cambria Math"/>
                  </w:rPr>
                  <m:t>'</m:t>
                </m:r>
              </m:sup>
            </m:sSubSup>
          </m:den>
        </m:f>
      </m:oMath>
      <w:r>
        <w:t xml:space="preserve"> is the (time-varying) share of previously issued debt. </w:t>
      </w:r>
    </w:p>
    <w:p w14:paraId="7008F364" w14:textId="7E2E5BB0" w:rsidR="00963390" w:rsidRDefault="00963390" w:rsidP="00963390">
      <w:pPr>
        <w:pStyle w:val="BodyText"/>
      </w:pPr>
      <w:r>
        <w:t>For example, suppose a borrower obtains a loan at a 5% interest rate and does not take on additional debt thereafter. The interest rate on the outstanding debt will remain fixed at 5%, irrespective of subsequent changes in the central bank’s policy rate. However, once new debt is issued in the future, the effective interest rate on the total outstanding debt becomes a weighted average of the interest rate on the newly issued debt and that on the existing stock of debt.</w:t>
      </w:r>
    </w:p>
    <w:p w14:paraId="4520B65A" w14:textId="69DED688" w:rsidR="007F66D9" w:rsidRDefault="007F66D9" w:rsidP="007F66D9">
      <w:pPr>
        <w:pStyle w:val="BodyText"/>
      </w:pPr>
      <w:r>
        <w:t xml:space="preserve">For the </w:t>
      </w:r>
      <w:r w:rsidR="000F118B">
        <w:t>purpose</w:t>
      </w:r>
      <w:r>
        <w:t xml:space="preserve"> of simplifying the model, we assume that borrowers do not internalize, in their optimization problem, the effect of new debt issuance on the average mortgage interest rate. In other words, once borrowers determine the amount of new debt according to the first-order condition specified below, the level of new debt in the above equation for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L</m:t>
            </m:r>
          </m:sup>
        </m:sSubSup>
      </m:oMath>
      <w:r>
        <w:t xml:space="preserve"> is treated as predetermined.</w:t>
      </w:r>
    </w:p>
    <w:p w14:paraId="19FCABA5" w14:textId="313CBEE4" w:rsidR="00C6745B" w:rsidRPr="006E1189" w:rsidRDefault="001A66DC" w:rsidP="009040C6">
      <w:pPr>
        <w:pStyle w:val="BodyText"/>
        <w:rPr>
          <w:rFonts w:eastAsiaTheme="minorEastAsia"/>
          <w:i/>
          <w:iCs/>
          <w:u w:val="single"/>
        </w:rPr>
      </w:pPr>
      <w:r w:rsidRPr="006E1189">
        <w:rPr>
          <w:i/>
          <w:iCs/>
          <w:u w:val="single"/>
        </w:rPr>
        <w:t xml:space="preserve">The </w:t>
      </w:r>
      <w:r w:rsidR="009040C6">
        <w:rPr>
          <w:i/>
          <w:iCs/>
          <w:u w:val="single"/>
        </w:rPr>
        <w:t>second</w:t>
      </w:r>
      <w:r w:rsidRPr="006E1189">
        <w:rPr>
          <w:i/>
          <w:iCs/>
          <w:u w:val="single"/>
        </w:rPr>
        <w:t xml:space="preserve"> type</w:t>
      </w:r>
      <w:r w:rsidR="005F5BC1">
        <w:rPr>
          <w:rFonts w:eastAsiaTheme="minorEastAsia"/>
          <w:i/>
          <w:iCs/>
          <w:u w:val="single"/>
        </w:rPr>
        <w:t xml:space="preserve">: </w:t>
      </w:r>
      <w:r w:rsidR="005F5BC1" w:rsidRPr="005F5BC1">
        <w:rPr>
          <w:rFonts w:eastAsiaTheme="minorEastAsia"/>
          <w:i/>
          <w:iCs/>
          <w:u w:val="single"/>
        </w:rPr>
        <w:t>variable-rate mortgage</w:t>
      </w:r>
    </w:p>
    <w:p w14:paraId="25DEBCCA" w14:textId="2A6C3063" w:rsidR="00AF34D7" w:rsidRDefault="00AF34D7" w:rsidP="00AF34D7">
      <w:pPr>
        <w:pStyle w:val="BodyText"/>
        <w:rPr>
          <w:rFonts w:eastAsiaTheme="minorEastAsia"/>
        </w:rPr>
      </w:pPr>
      <w:r w:rsidRPr="00AF34D7">
        <w:rPr>
          <w:rFonts w:eastAsiaTheme="minorEastAsia"/>
        </w:rPr>
        <w:t xml:space="preserve">In this specification, the mortgage interest rate is defined to move one-to-one with the real central bank rate. This can be viewed as a special case of the fixed-rate setup discussed earlier, obtained under the technical condition that the adjustment parameter is </w:t>
      </w:r>
      <w:r w:rsidR="0000200C">
        <w:rPr>
          <w:rFonts w:eastAsiaTheme="minorEastAsia"/>
        </w:rPr>
        <w:t xml:space="preserve">always </w:t>
      </w:r>
      <w:r w:rsidRPr="00AF34D7">
        <w:rPr>
          <w:rFonts w:eastAsiaTheme="minorEastAsia"/>
        </w:rPr>
        <w:t>equal to one</w:t>
      </w:r>
      <w:r>
        <w:rPr>
          <w:rFonts w:eastAsiaTheme="minorEastAsia"/>
        </w:rPr>
        <w:t xml:space="preserve"> </w:t>
      </w:r>
      <m:oMath>
        <m:r>
          <w:rPr>
            <w:rFonts w:ascii="Cambria Math" w:eastAsiaTheme="minorEastAsia"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'New</m:t>
                </m:r>
              </m:sup>
            </m:sSubSup>
          </m:num>
          <m:den>
            <m:sSubSup>
              <m:sSubSupPr>
                <m:ctrlPr>
                  <w:rPr>
                    <w:rFonts w:ascii="Cambria Math" w:hAnsi="Cambria Math"/>
                    <w:i/>
                  </w:rPr>
                </m:ctrlPr>
              </m:sSubSupPr>
              <m:e>
                <m:r>
                  <w:rPr>
                    <w:rFonts w:ascii="Cambria Math" w:hAnsi="Cambria Math"/>
                  </w:rPr>
                  <m:t>B</m:t>
                </m:r>
              </m:e>
              <m:sub>
                <m:r>
                  <w:rPr>
                    <w:rFonts w:ascii="Cambria Math" w:hAnsi="Cambria Math"/>
                  </w:rPr>
                  <m:t>t</m:t>
                </m:r>
              </m:sub>
              <m:sup>
                <m:r>
                  <w:rPr>
                    <w:rFonts w:ascii="Cambria Math" w:hAnsi="Cambria Math"/>
                  </w:rPr>
                  <m:t>'</m:t>
                </m:r>
              </m:sup>
            </m:sSubSup>
          </m:den>
        </m:f>
        <m:r>
          <w:rPr>
            <w:rFonts w:ascii="Cambria Math" w:hAnsi="Cambria Math"/>
          </w:rPr>
          <m:t>=1</m:t>
        </m:r>
      </m:oMath>
      <w:r w:rsidR="00AE585A">
        <w:rPr>
          <w:rFonts w:eastAsiaTheme="minorEastAsia"/>
        </w:rPr>
        <w:t>)</w:t>
      </w:r>
      <w:r w:rsidRPr="00AF34D7">
        <w:rPr>
          <w:rFonts w:eastAsiaTheme="minorEastAsia"/>
        </w:rPr>
        <w:t>.</w:t>
      </w:r>
    </w:p>
    <w:p w14:paraId="30BB76E2" w14:textId="0D4E4241" w:rsidR="00CC2609" w:rsidRDefault="00000000" w:rsidP="00CC2609">
      <w:pPr>
        <w:pStyle w:val="BodyText"/>
        <w:jc w:val="center"/>
      </w:pPr>
      <m:oMathPara>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L</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nor/>
            </m:rPr>
            <w:rPr>
              <w:rFonts w:ascii="Cambria" w:hAnsi="Cambria" w:cs="Cambria"/>
              <w:i/>
              <w:iCs/>
            </w:rPr>
            <m:t>ω</m:t>
          </m:r>
        </m:oMath>
      </m:oMathPara>
    </w:p>
    <w:p w14:paraId="030DC3D4" w14:textId="77777777" w:rsidR="003B1BFC" w:rsidRDefault="003B1BFC" w:rsidP="00FC1621">
      <w:pPr>
        <w:pStyle w:val="BodyText"/>
      </w:pPr>
      <w:r w:rsidRPr="003B1BFC">
        <w:t>Economically, this case closely approximates the so‑called Prime interest rate, which is linked to the nominal Bank of Israel policy rate and is also applied to long‑term debt. A key distinction in our model, however, is that the short‑term interest rate is indexed to the CPI, whereas the Prime rate used in practice is not.</w:t>
      </w:r>
    </w:p>
    <w:p w14:paraId="15C66D44" w14:textId="43C54C52" w:rsidR="00EF02FB" w:rsidRDefault="001A66DC" w:rsidP="00FC1621">
      <w:pPr>
        <w:pStyle w:val="BodyText"/>
      </w:pPr>
      <w:r w:rsidRPr="00FC1621">
        <w:lastRenderedPageBreak/>
        <w:t>The first-order conditions characterizing borrowers’ optimization are invariant to the selected mortgage track. These conditions are presented below, and a detailed derivation is provided in the Technical Appendix of the supplementary materials.</w:t>
      </w:r>
      <w:r>
        <w:rPr>
          <w:rFonts w:hint="cs"/>
          <w:rtl/>
          <w:lang w:bidi="he-IL"/>
        </w:rPr>
        <w:t xml:space="preserve"> </w:t>
      </w:r>
      <w:r w:rsidR="005F108B">
        <w:t xml:space="preserve">All variables with subscript </w:t>
      </w:r>
      <w:r w:rsidR="005F108B" w:rsidRPr="004D197B">
        <w:rPr>
          <w:i/>
          <w:iCs/>
        </w:rPr>
        <w:t>t+1</w:t>
      </w:r>
      <w:r w:rsidR="005F108B">
        <w:t xml:space="preserve"> </w:t>
      </w:r>
      <w:r w:rsidR="00925B64">
        <w:t xml:space="preserve">represent the expected values for period </w:t>
      </w:r>
      <w:r w:rsidR="00925B64" w:rsidRPr="004D197B">
        <w:rPr>
          <w:i/>
          <w:iCs/>
        </w:rPr>
        <w:t>t+1</w:t>
      </w:r>
      <w:r w:rsidR="00492A68">
        <w:t xml:space="preserve">, conditional on information available at time </w:t>
      </w:r>
      <w:r w:rsidR="00492A68" w:rsidRPr="004D197B">
        <w:rPr>
          <w:i/>
          <w:iCs/>
        </w:rPr>
        <w:t>t</w:t>
      </w:r>
      <w:r w:rsidR="00492A68">
        <w:t xml:space="preserve">. </w:t>
      </w:r>
    </w:p>
    <w:p w14:paraId="3F821382" w14:textId="41F6B99A" w:rsidR="000F118B" w:rsidRPr="00AF1DFA" w:rsidRDefault="00AF1DFA" w:rsidP="00AF1DFA">
      <w:pPr>
        <w:pStyle w:val="BodyText"/>
        <w:rPr>
          <w:i/>
          <w:iCs/>
          <w:lang w:bidi="he-IL"/>
        </w:rPr>
      </w:pPr>
      <w:r>
        <w:rPr>
          <w:lang w:bidi="he-IL"/>
        </w:rPr>
        <w:t xml:space="preserve">The </w:t>
      </w:r>
      <w:r w:rsidRPr="00FC1621">
        <w:t>first-order conditions</w:t>
      </w:r>
      <w:r>
        <w:t xml:space="preserve"> with respect to </w:t>
      </w:r>
      <m:oMath>
        <m:sSubSup>
          <m:sSubSupPr>
            <m:ctrlPr>
              <w:rPr>
                <w:rFonts w:ascii="Cambria Math" w:hAnsi="Cambria Math"/>
                <w:i/>
                <w:iCs/>
              </w:rPr>
            </m:ctrlPr>
          </m:sSubSupPr>
          <m:e>
            <m:r>
              <w:rPr>
                <w:rFonts w:ascii="Cambria Math" w:hAnsi="Cambria Math"/>
              </w:rPr>
              <m:t>C</m:t>
            </m:r>
          </m:e>
          <m:sub>
            <m:r>
              <w:rPr>
                <w:rFonts w:ascii="Cambria Math" w:hAnsi="Cambria Math"/>
              </w:rPr>
              <m:t>t</m:t>
            </m:r>
          </m:sub>
          <m:sup>
            <m:r>
              <w:rPr>
                <w:rFonts w:ascii="Cambria Math" w:hAnsi="Cambria Math"/>
              </w:rPr>
              <m:t>'</m:t>
            </m:r>
          </m:sup>
        </m:sSubSup>
        <m:r>
          <w:rPr>
            <w:rFonts w:ascii="Cambria Math" w:hAnsi="Cambria Math"/>
            <w:lang w:bidi="he-IL"/>
          </w:rPr>
          <m:t>,</m:t>
        </m:r>
        <m:sSubSup>
          <m:sSubSupPr>
            <m:ctrlPr>
              <w:rPr>
                <w:rFonts w:ascii="Cambria Math" w:hAnsi="Cambria Math"/>
                <w:i/>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r>
              <w:rPr>
                <w:rFonts w:ascii="Cambria Math" w:hAnsi="Cambria Math"/>
              </w:rPr>
              <m:t>'</m:t>
            </m:r>
          </m:sup>
        </m:sSubSup>
        <m:r>
          <m:rPr>
            <m:sty m:val="p"/>
          </m:rP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t</m:t>
            </m:r>
            <m:ctrlPr>
              <w:rPr>
                <w:rFonts w:ascii="Cambria Math" w:hAnsi="Cambria Math"/>
              </w:rPr>
            </m:ctrlPr>
          </m:sub>
        </m:sSub>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m:t>
            </m:r>
          </m:sup>
        </m:sSubSup>
      </m:oMath>
      <w:r>
        <w:rPr>
          <w:rFonts w:eastAsiaTheme="minorEastAsia"/>
          <w:i/>
        </w:rPr>
        <w:t xml:space="preserve"> </w:t>
      </w:r>
      <w:r w:rsidRPr="00AF1DFA">
        <w:rPr>
          <w:rFonts w:eastAsiaTheme="minorEastAsia"/>
          <w:iCs/>
        </w:rPr>
        <w:t>are respectively</w:t>
      </w:r>
      <w:r>
        <w:rPr>
          <w:rFonts w:eastAsiaTheme="minorEastAsia"/>
          <w:iCs/>
        </w:rPr>
        <w:t xml:space="preserve"> </w:t>
      </w:r>
      <w:r>
        <w:t>(w</w:t>
      </w:r>
      <w:r w:rsidRPr="002B565B">
        <w:t>here</w:t>
      </w:r>
      <w:r>
        <w:t xml:space="preserve"> </w:t>
      </w:r>
      <m:oMath>
        <m:r>
          <w:rPr>
            <w:rFonts w:ascii="Cambria Math" w:hAnsi="Cambria Math"/>
          </w:rPr>
          <m:t>ϑ=</m:t>
        </m:r>
        <m:f>
          <m:fPr>
            <m:type m:val="lin"/>
            <m:ctrlPr>
              <w:rPr>
                <w:rFonts w:ascii="Cambria Math" w:hAnsi="Cambria Math"/>
                <w:i/>
              </w:rPr>
            </m:ctrlPr>
          </m:fPr>
          <m:num>
            <m:r>
              <w:rPr>
                <w:rFonts w:ascii="Cambria Math" w:hAnsi="Cambria Math"/>
              </w:rPr>
              <m:t>1</m:t>
            </m:r>
          </m:num>
          <m:den>
            <m:r>
              <w:rPr>
                <w:rFonts w:ascii="Cambria Math" w:hAnsi="Cambria Math"/>
              </w:rPr>
              <m:t>ϵ</m:t>
            </m:r>
          </m:den>
        </m:f>
      </m:oMath>
      <w:r>
        <w:rPr>
          <w:rFonts w:eastAsiaTheme="minorEastAsia"/>
        </w:rPr>
        <w:t>)</w:t>
      </w:r>
      <w:r w:rsidRPr="00AF1DFA">
        <w:rPr>
          <w:rFonts w:eastAsiaTheme="minorEastAsia"/>
          <w:iCs/>
        </w:rPr>
        <w:t>:</w:t>
      </w:r>
      <w:r>
        <w:rPr>
          <w:rFonts w:eastAsiaTheme="minorEastAsia"/>
          <w:i/>
        </w:rPr>
        <w:t xml:space="preserve"> </w:t>
      </w:r>
    </w:p>
    <w:p w14:paraId="785A92AE" w14:textId="0AE08FE0" w:rsidR="00EF02FB" w:rsidRPr="00D66FCF" w:rsidRDefault="00000000" w:rsidP="001B7894">
      <w:pPr>
        <w:pStyle w:val="BodyText"/>
        <w:spacing w:line="360" w:lineRule="auto"/>
        <w:rPr>
          <w:rFonts w:asciiTheme="majorHAnsi" w:hAnsiTheme="majorHAnsi"/>
          <w:i/>
        </w:rPr>
      </w:pPr>
      <m:oMathPara>
        <m:oMath>
          <m:sSubSup>
            <m:sSubSupPr>
              <m:ctrlPr>
                <w:rPr>
                  <w:rFonts w:ascii="Cambria Math" w:hAnsi="Cambria Math"/>
                  <w:i/>
                </w:rPr>
              </m:ctrlPr>
            </m:sSubSupPr>
            <m:e>
              <m:r>
                <w:rPr>
                  <w:rFonts w:ascii="Cambria Math" w:hAnsi="Cambria Math"/>
                </w:rPr>
                <m:t>λ</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Γ</m:t>
              </m:r>
            </m:e>
            <m:sub>
              <m:r>
                <w:rPr>
                  <w:rFonts w:ascii="Cambria Math" w:hAnsi="Cambria Math"/>
                </w:rPr>
                <m:t>c</m:t>
              </m:r>
            </m:sub>
            <m:sup>
              <m:r>
                <w:rPr>
                  <w:rFonts w:ascii="Cambria Math" w:hAnsi="Cambria Math"/>
                </w:rPr>
                <m:t>'</m:t>
              </m:r>
            </m:sup>
          </m:sSubSup>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z</m:t>
                      </m:r>
                    </m:e>
                    <m:sub>
                      <m:r>
                        <w:rPr>
                          <w:rFonts w:ascii="Cambria Math" w:hAnsi="Cambria Math"/>
                        </w:rPr>
                        <m:t>t</m:t>
                      </m:r>
                    </m:sub>
                    <m:sup>
                      <m:r>
                        <w:rPr>
                          <w:rFonts w:ascii="Cambria Math" w:hAnsi="Cambria Math"/>
                        </w:rPr>
                        <m:t>'</m:t>
                      </m:r>
                    </m:sup>
                  </m:sSubSup>
                </m:num>
                <m:den>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c</m:t>
                      </m:r>
                    </m:sup>
                  </m:sSup>
                  <m:sSubSup>
                    <m:sSubSupPr>
                      <m:ctrlPr>
                        <w:rPr>
                          <w:rFonts w:ascii="Cambria Math" w:hAnsi="Cambria Math"/>
                          <w:i/>
                        </w:rPr>
                      </m:ctrlPr>
                    </m:sSubSupPr>
                    <m:e>
                      <m:r>
                        <w:rPr>
                          <w:rFonts w:ascii="Cambria Math" w:hAnsi="Cambria Math"/>
                        </w:rPr>
                        <m:t>C</m:t>
                      </m:r>
                    </m:e>
                    <m:sub>
                      <m:r>
                        <w:rPr>
                          <w:rFonts w:ascii="Cambria Math" w:hAnsi="Cambria Math"/>
                        </w:rPr>
                        <m:t>t-1</m:t>
                      </m:r>
                    </m:sub>
                    <m:sup>
                      <m:r>
                        <w:rPr>
                          <w:rFonts w:ascii="Cambria Math" w:hAnsi="Cambria Math"/>
                        </w:rPr>
                        <m:t>'</m:t>
                      </m:r>
                    </m:sup>
                  </m:sSubSup>
                </m:den>
              </m:f>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m:t>
                  </m:r>
                </m:sup>
              </m:sSup>
              <m:sSup>
                <m:sSupPr>
                  <m:ctrlPr>
                    <w:rPr>
                      <w:rFonts w:ascii="Cambria Math" w:hAnsi="Cambria Math"/>
                      <w:i/>
                    </w:rPr>
                  </m:ctrlPr>
                </m:sSupPr>
                <m:e>
                  <m:r>
                    <w:rPr>
                      <w:rFonts w:ascii="Cambria Math" w:hAnsi="Cambria Math"/>
                    </w:rPr>
                    <m:t>ζ</m:t>
                  </m:r>
                </m:e>
                <m:sup>
                  <m:r>
                    <w:rPr>
                      <w:rFonts w:ascii="Cambria Math" w:hAnsi="Cambria Math"/>
                    </w:rPr>
                    <m:t>c</m:t>
                  </m:r>
                </m:sup>
              </m:sSup>
              <m:f>
                <m:fPr>
                  <m:ctrlPr>
                    <w:rPr>
                      <w:rFonts w:ascii="Cambria Math" w:hAnsi="Cambria Math"/>
                      <w:i/>
                    </w:rPr>
                  </m:ctrlPr>
                </m:fPr>
                <m:num>
                  <m:sSubSup>
                    <m:sSubSupPr>
                      <m:ctrlPr>
                        <w:rPr>
                          <w:rFonts w:ascii="Cambria Math" w:hAnsi="Cambria Math"/>
                          <w:i/>
                        </w:rPr>
                      </m:ctrlPr>
                    </m:sSubSupPr>
                    <m:e>
                      <m:r>
                        <w:rPr>
                          <w:rFonts w:ascii="Cambria Math" w:hAnsi="Cambria Math"/>
                        </w:rPr>
                        <m:t>z</m:t>
                      </m:r>
                    </m:e>
                    <m:sub>
                      <m:r>
                        <w:rPr>
                          <w:rFonts w:ascii="Cambria Math" w:hAnsi="Cambria Math"/>
                        </w:rPr>
                        <m:t>t+1</m:t>
                      </m:r>
                    </m:sub>
                    <m:sup>
                      <m:r>
                        <w:rPr>
                          <w:rFonts w:ascii="Cambria Math" w:hAnsi="Cambria Math"/>
                        </w:rPr>
                        <m:t>'</m:t>
                      </m:r>
                    </m:sup>
                  </m:sSubSup>
                </m:num>
                <m:den>
                  <m:sSubSup>
                    <m:sSubSupPr>
                      <m:ctrlPr>
                        <w:rPr>
                          <w:rFonts w:ascii="Cambria Math" w:hAnsi="Cambria Math"/>
                          <w:i/>
                        </w:rPr>
                      </m:ctrlPr>
                    </m:sSubSupPr>
                    <m:e>
                      <m:r>
                        <w:rPr>
                          <w:rFonts w:ascii="Cambria Math" w:hAnsi="Cambria Math"/>
                        </w:rPr>
                        <m:t>C</m:t>
                      </m:r>
                    </m:e>
                    <m:sub>
                      <m:r>
                        <w:rPr>
                          <w:rFonts w:ascii="Cambria Math" w:hAnsi="Cambria Math"/>
                        </w:rPr>
                        <m:t>t+1</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c</m:t>
                      </m:r>
                    </m:sup>
                  </m:sSup>
                  <m:sSubSup>
                    <m:sSubSupPr>
                      <m:ctrlPr>
                        <w:rPr>
                          <w:rFonts w:ascii="Cambria Math" w:hAnsi="Cambria Math"/>
                          <w:i/>
                        </w:rPr>
                      </m:ctrlPr>
                    </m:sSubSupPr>
                    <m:e>
                      <m:r>
                        <w:rPr>
                          <w:rFonts w:ascii="Cambria Math" w:hAnsi="Cambria Math"/>
                        </w:rPr>
                        <m:t>C</m:t>
                      </m:r>
                    </m:e>
                    <m:sub>
                      <m:r>
                        <w:rPr>
                          <w:rFonts w:ascii="Cambria Math" w:hAnsi="Cambria Math"/>
                        </w:rPr>
                        <m:t>t</m:t>
                      </m:r>
                    </m:sub>
                    <m:sup>
                      <m:r>
                        <w:rPr>
                          <w:rFonts w:ascii="Cambria Math" w:hAnsi="Cambria Math"/>
                        </w:rPr>
                        <m:t>'</m:t>
                      </m:r>
                    </m:sup>
                  </m:sSubSup>
                </m:den>
              </m:f>
            </m:e>
          </m:d>
        </m:oMath>
      </m:oMathPara>
    </w:p>
    <w:p w14:paraId="45BA1A44" w14:textId="64C8FD74" w:rsidR="00EF02FB" w:rsidRPr="00D66FCF" w:rsidRDefault="001A66DC" w:rsidP="00FD221D">
      <w:pPr>
        <w:pStyle w:val="BodyText"/>
        <w:spacing w:line="360" w:lineRule="auto"/>
        <w:rPr>
          <w:rFonts w:asciiTheme="majorHAnsi" w:hAnsiTheme="majorHAnsi"/>
          <w:i/>
        </w:rPr>
      </w:pPr>
      <w:r w:rsidRPr="00D66FCF">
        <w:rPr>
          <w:i/>
        </w:rPr>
        <w:t xml:space="preserve"> </w:t>
      </w:r>
      <m:oMath>
        <m:sSubSup>
          <m:sSubSupPr>
            <m:ctrlPr>
              <w:rPr>
                <w:rFonts w:ascii="Cambria Math" w:hAnsi="Cambria Math"/>
                <w:i/>
              </w:rPr>
            </m:ctrlPr>
          </m:sSubSupPr>
          <m:e>
            <m:r>
              <w:rPr>
                <w:rFonts w:ascii="Cambria Math" w:hAnsi="Cambria Math"/>
              </w:rPr>
              <m:t>j</m:t>
            </m:r>
          </m:e>
          <m:sub>
            <m:r>
              <w:rPr>
                <w:rFonts w:ascii="Cambria Math" w:hAnsi="Cambria Math"/>
              </w:rPr>
              <m:t>t</m:t>
            </m:r>
          </m:sub>
          <m:sup>
            <m:r>
              <w:rPr>
                <w:rFonts w:ascii="Cambria Math" w:hAnsi="Cambria Math"/>
              </w:rPr>
              <m:t>'</m:t>
            </m:r>
          </m:sup>
        </m:sSubSup>
        <m:f>
          <m:fPr>
            <m:ctrlPr>
              <w:rPr>
                <w:rFonts w:ascii="Cambria Math" w:hAnsi="Cambria Math"/>
                <w:i/>
              </w:rPr>
            </m:ctrlPr>
          </m:fPr>
          <m:num>
            <m:sSup>
              <m:sSupPr>
                <m:ctrlPr>
                  <w:rPr>
                    <w:rFonts w:ascii="Cambria Math" w:hAnsi="Cambria Math"/>
                    <w:i/>
                  </w:rPr>
                </m:ctrlPr>
              </m:sSupPr>
              <m:e>
                <m:r>
                  <w:rPr>
                    <w:rFonts w:ascii="Cambria Math" w:hAnsi="Cambria Math"/>
                  </w:rPr>
                  <m:t>γ</m:t>
                </m:r>
              </m:e>
              <m:sup>
                <m:r>
                  <w:rPr>
                    <w:rFonts w:ascii="Cambria Math" w:hAnsi="Cambria Math"/>
                  </w:rPr>
                  <m:t>'</m:t>
                </m:r>
              </m:sup>
            </m:sSup>
            <m:sSup>
              <m:sSupPr>
                <m:ctrlPr>
                  <w:rPr>
                    <w:rFonts w:ascii="Cambria Math" w:hAnsi="Cambria Math"/>
                    <w:i/>
                  </w:rPr>
                </m:ctrlPr>
              </m:sSupPr>
              <m:e>
                <m:sSubSup>
                  <m:sSubSupPr>
                    <m:ctrlPr>
                      <w:rPr>
                        <w:rFonts w:ascii="Cambria Math" w:hAnsi="Cambria Math"/>
                        <w:i/>
                      </w:rPr>
                    </m:ctrlPr>
                  </m:sSubSupPr>
                  <m:e>
                    <m:r>
                      <w:rPr>
                        <w:rFonts w:ascii="Cambria Math" w:hAnsi="Cambria Math"/>
                      </w:rPr>
                      <m:t>h</m:t>
                    </m:r>
                  </m:e>
                  <m:sub>
                    <m:r>
                      <w:rPr>
                        <w:rFonts w:ascii="Cambria Math" w:hAnsi="Cambria Math"/>
                      </w:rPr>
                      <m:t>o,t</m:t>
                    </m:r>
                  </m:sub>
                  <m:sup>
                    <m:r>
                      <w:rPr>
                        <w:rFonts w:ascii="Cambria Math" w:hAnsi="Cambria Math"/>
                      </w:rPr>
                      <m:t>'</m:t>
                    </m:r>
                  </m:sup>
                </m:sSubSup>
              </m:e>
              <m:sup>
                <m:r>
                  <w:rPr>
                    <w:rFonts w:ascii="Cambria Math" w:hAnsi="Cambria Math"/>
                  </w:rPr>
                  <m:t>-ϑ</m:t>
                </m:r>
              </m:sup>
            </m:sSup>
          </m:num>
          <m:den>
            <m:sSup>
              <m:sSupPr>
                <m:ctrlPr>
                  <w:rPr>
                    <w:rFonts w:ascii="Cambria Math" w:hAnsi="Cambria Math"/>
                    <w:i/>
                  </w:rPr>
                </m:ctrlPr>
              </m:sSupPr>
              <m:e>
                <m:r>
                  <w:rPr>
                    <w:rFonts w:ascii="Cambria Math" w:hAnsi="Cambria Math"/>
                  </w:rPr>
                  <m:t>γ</m:t>
                </m:r>
              </m:e>
              <m:sup>
                <m:r>
                  <w:rPr>
                    <w:rFonts w:ascii="Cambria Math" w:hAnsi="Cambria Math"/>
                  </w:rPr>
                  <m:t>'</m:t>
                </m:r>
              </m:sup>
            </m:sSup>
            <m:sSup>
              <m:sSupPr>
                <m:ctrlPr>
                  <w:rPr>
                    <w:rFonts w:ascii="Cambria Math" w:hAnsi="Cambria Math"/>
                    <w:i/>
                  </w:rPr>
                </m:ctrlPr>
              </m:sSupPr>
              <m:e>
                <m:sSubSup>
                  <m:sSubSupPr>
                    <m:ctrlPr>
                      <w:rPr>
                        <w:rFonts w:ascii="Cambria Math" w:hAnsi="Cambria Math"/>
                        <w:i/>
                      </w:rPr>
                    </m:ctrlPr>
                  </m:sSubSupPr>
                  <m:e>
                    <m:r>
                      <w:rPr>
                        <w:rFonts w:ascii="Cambria Math" w:hAnsi="Cambria Math"/>
                      </w:rPr>
                      <m:t>h</m:t>
                    </m:r>
                  </m:e>
                  <m:sub>
                    <m:r>
                      <w:rPr>
                        <w:rFonts w:ascii="Cambria Math" w:hAnsi="Cambria Math"/>
                      </w:rPr>
                      <m:t>o,t</m:t>
                    </m:r>
                  </m:sub>
                  <m:sup>
                    <m:r>
                      <w:rPr>
                        <w:rFonts w:ascii="Cambria Math" w:hAnsi="Cambria Math"/>
                      </w:rPr>
                      <m:t>'</m:t>
                    </m:r>
                  </m:sup>
                </m:sSubSup>
              </m:e>
              <m:sup>
                <m:r>
                  <w:rPr>
                    <w:rFonts w:ascii="Cambria Math" w:hAnsi="Cambria Math"/>
                  </w:rPr>
                  <m:t>1-ϑ</m:t>
                </m:r>
              </m:sup>
            </m:sSup>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γ</m:t>
                    </m:r>
                  </m:e>
                  <m:sup>
                    <m:r>
                      <w:rPr>
                        <w:rFonts w:ascii="Cambria Math" w:hAnsi="Cambria Math"/>
                      </w:rPr>
                      <m:t>'</m:t>
                    </m:r>
                  </m:sup>
                </m:sSup>
              </m:e>
            </m:d>
            <m:sSup>
              <m:sSupPr>
                <m:ctrlPr>
                  <w:rPr>
                    <w:rFonts w:ascii="Cambria Math" w:hAnsi="Cambria Math"/>
                    <w:i/>
                  </w:rPr>
                </m:ctrlPr>
              </m:sSupPr>
              <m:e>
                <m:sSubSup>
                  <m:sSubSupPr>
                    <m:ctrlPr>
                      <w:rPr>
                        <w:rFonts w:ascii="Cambria Math" w:hAnsi="Cambria Math"/>
                        <w:i/>
                      </w:rPr>
                    </m:ctrlPr>
                  </m:sSubSupPr>
                  <m:e>
                    <m:r>
                      <w:rPr>
                        <w:rFonts w:ascii="Cambria Math" w:hAnsi="Cambria Math"/>
                      </w:rPr>
                      <m:t>h</m:t>
                    </m:r>
                  </m:e>
                  <m:sub>
                    <m:r>
                      <w:rPr>
                        <w:rFonts w:ascii="Cambria Math" w:hAnsi="Cambria Math"/>
                      </w:rPr>
                      <m:t>r,t</m:t>
                    </m:r>
                  </m:sub>
                  <m:sup>
                    <m:r>
                      <w:rPr>
                        <w:rFonts w:ascii="Cambria Math" w:hAnsi="Cambria Math"/>
                      </w:rPr>
                      <m:t>'</m:t>
                    </m:r>
                  </m:sup>
                </m:sSubSup>
              </m:e>
              <m:sup>
                <m:r>
                  <w:rPr>
                    <w:rFonts w:ascii="Cambria Math" w:hAnsi="Cambria Math"/>
                  </w:rPr>
                  <m:t>1-ϑ</m:t>
                </m:r>
              </m:sup>
            </m:sSup>
          </m:den>
        </m:f>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t</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μ</m:t>
                </m:r>
              </m:e>
              <m:sub>
                <m:r>
                  <w:rPr>
                    <w:rFonts w:ascii="Cambria Math" w:hAnsi="Cambria Math"/>
                  </w:rPr>
                  <m:t>t</m:t>
                </m:r>
              </m:sub>
              <m:sup>
                <m:r>
                  <w:rPr>
                    <w:rFonts w:ascii="Cambria Math" w:hAnsi="Cambria Math"/>
                  </w:rPr>
                  <m:t>'</m:t>
                </m:r>
              </m:sup>
            </m:sSubSup>
            <m:sSub>
              <m:sSubPr>
                <m:ctrlPr>
                  <w:rPr>
                    <w:rFonts w:ascii="Cambria Math" w:hAnsi="Cambria Math"/>
                    <w:i/>
                  </w:rPr>
                </m:ctrlPr>
              </m:sSubPr>
              <m:e>
                <m:r>
                  <w:rPr>
                    <w:rFonts w:ascii="Cambria Math" w:hAnsi="Cambria Math"/>
                  </w:rPr>
                  <m:t>LTV</m:t>
                </m:r>
              </m:e>
              <m:sub>
                <m:r>
                  <w:rPr>
                    <w:rFonts w:ascii="Cambria Math" w:hAnsi="Cambria Math"/>
                  </w:rPr>
                  <m:t>t</m:t>
                </m:r>
              </m:sub>
            </m:sSub>
          </m:e>
        </m:d>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sSubSup>
              <m:sSubSupPr>
                <m:ctrlPr>
                  <w:rPr>
                    <w:rFonts w:ascii="Cambria Math" w:hAnsi="Cambria Math"/>
                    <w:i/>
                  </w:rPr>
                </m:ctrlPr>
              </m:sSubSupPr>
              <m:e>
                <m:r>
                  <w:rPr>
                    <w:rFonts w:ascii="Cambria Math" w:hAnsi="Cambria Math"/>
                  </w:rPr>
                  <m:t>+μ</m:t>
                </m:r>
              </m:e>
              <m:sub>
                <m:r>
                  <w:rPr>
                    <w:rFonts w:ascii="Cambria Math" w:hAnsi="Cambria Math"/>
                  </w:rPr>
                  <m:t>t+1</m:t>
                </m:r>
              </m:sub>
              <m:sup>
                <m:r>
                  <w:rPr>
                    <w:rFonts w:ascii="Cambria Math" w:hAnsi="Cambria Math"/>
                  </w:rPr>
                  <m:t>'</m:t>
                </m:r>
              </m:sup>
            </m:sSubSup>
            <m:sSub>
              <m:sSubPr>
                <m:ctrlPr>
                  <w:rPr>
                    <w:rFonts w:ascii="Cambria Math" w:hAnsi="Cambria Math"/>
                    <w:i/>
                  </w:rPr>
                </m:ctrlPr>
              </m:sSubPr>
              <m:e>
                <m:r>
                  <w:rPr>
                    <w:rFonts w:ascii="Cambria Math" w:hAnsi="Cambria Math"/>
                  </w:rPr>
                  <m:t>LTV</m:t>
                </m:r>
              </m:e>
              <m:sub>
                <m:r>
                  <w:rPr>
                    <w:rFonts w:ascii="Cambria Math" w:hAnsi="Cambria Math"/>
                  </w:rPr>
                  <m:t>t+1</m:t>
                </m:r>
              </m:sub>
            </m:sSub>
            <m:d>
              <m:dPr>
                <m:ctrlPr>
                  <w:rPr>
                    <w:rFonts w:ascii="Cambria Math" w:hAnsi="Cambria Math"/>
                    <w:i/>
                  </w:rPr>
                </m:ctrlPr>
              </m:dPr>
              <m:e>
                <m:r>
                  <w:rPr>
                    <w:rFonts w:ascii="Cambria Math" w:hAnsi="Cambria Math"/>
                  </w:rPr>
                  <m:t>1-κ</m:t>
                </m:r>
              </m:e>
            </m:d>
          </m:e>
        </m:d>
        <m:sSub>
          <m:sSubPr>
            <m:ctrlPr>
              <w:rPr>
                <w:rFonts w:ascii="Cambria Math" w:hAnsi="Cambria Math"/>
                <w:i/>
              </w:rPr>
            </m:ctrlPr>
          </m:sSubPr>
          <m:e>
            <m:r>
              <w:rPr>
                <w:rFonts w:ascii="Cambria Math" w:hAnsi="Cambria Math"/>
              </w:rPr>
              <m:t>q</m:t>
            </m:r>
          </m:e>
          <m:sub>
            <m:r>
              <w:rPr>
                <w:rFonts w:ascii="Cambria Math" w:hAnsi="Cambria Math"/>
              </w:rPr>
              <m:t>t+1</m:t>
            </m:r>
          </m:sub>
        </m:sSub>
      </m:oMath>
    </w:p>
    <w:p w14:paraId="69386790" w14:textId="260CD863" w:rsidR="00FF4AD0" w:rsidRPr="00D66FCF" w:rsidRDefault="00000000" w:rsidP="001B7894">
      <w:pPr>
        <w:pStyle w:val="BodyText"/>
        <w:spacing w:line="360" w:lineRule="auto"/>
        <w:rPr>
          <w:rFonts w:asciiTheme="majorHAnsi" w:hAnsiTheme="majorHAnsi"/>
          <w:i/>
        </w:rPr>
      </w:pPr>
      <m:oMathPara>
        <m:oMath>
          <m:sSubSup>
            <m:sSubSupPr>
              <m:ctrlPr>
                <w:rPr>
                  <w:rFonts w:ascii="Cambria Math" w:hAnsi="Cambria Math"/>
                  <w:i/>
                </w:rPr>
              </m:ctrlPr>
            </m:sSubSupPr>
            <m:e>
              <m:r>
                <w:rPr>
                  <w:rFonts w:ascii="Cambria Math" w:hAnsi="Cambria Math"/>
                </w:rPr>
                <m:t>j</m:t>
              </m:r>
            </m:e>
            <m:sub>
              <m:r>
                <w:rPr>
                  <w:rFonts w:ascii="Cambria Math" w:hAnsi="Cambria Math"/>
                </w:rPr>
                <m:t>t</m:t>
              </m:r>
            </m:sub>
            <m:sup>
              <m:r>
                <w:rPr>
                  <w:rFonts w:ascii="Cambria Math" w:hAnsi="Cambria Math"/>
                </w:rPr>
                <m:t>'</m:t>
              </m:r>
            </m:sup>
          </m:sSubSup>
          <m:f>
            <m:fPr>
              <m:ctrlPr>
                <w:rPr>
                  <w:rFonts w:ascii="Cambria Math" w:hAnsi="Cambria Math"/>
                  <w:i/>
                </w:rPr>
              </m:ctrlPr>
            </m:fPr>
            <m:num>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γ</m:t>
                      </m:r>
                    </m:e>
                    <m:sup>
                      <m:r>
                        <w:rPr>
                          <w:rFonts w:ascii="Cambria Math" w:hAnsi="Cambria Math"/>
                        </w:rPr>
                        <m:t>'</m:t>
                      </m:r>
                    </m:sup>
                  </m:sSup>
                </m:e>
              </m:d>
              <m:sSup>
                <m:sSupPr>
                  <m:ctrlPr>
                    <w:rPr>
                      <w:rFonts w:ascii="Cambria Math" w:hAnsi="Cambria Math"/>
                      <w:i/>
                    </w:rPr>
                  </m:ctrlPr>
                </m:sSupPr>
                <m:e>
                  <m:sSubSup>
                    <m:sSubSupPr>
                      <m:ctrlPr>
                        <w:rPr>
                          <w:rFonts w:ascii="Cambria Math" w:hAnsi="Cambria Math"/>
                          <w:i/>
                        </w:rPr>
                      </m:ctrlPr>
                    </m:sSubSupPr>
                    <m:e>
                      <m:r>
                        <w:rPr>
                          <w:rFonts w:ascii="Cambria Math" w:hAnsi="Cambria Math"/>
                        </w:rPr>
                        <m:t>h</m:t>
                      </m:r>
                    </m:e>
                    <m:sub>
                      <m:r>
                        <w:rPr>
                          <w:rFonts w:ascii="Cambria Math" w:hAnsi="Cambria Math"/>
                        </w:rPr>
                        <m:t>r,t</m:t>
                      </m:r>
                    </m:sub>
                    <m:sup>
                      <m:r>
                        <w:rPr>
                          <w:rFonts w:ascii="Cambria Math" w:hAnsi="Cambria Math"/>
                        </w:rPr>
                        <m:t>'</m:t>
                      </m:r>
                    </m:sup>
                  </m:sSubSup>
                </m:e>
                <m:sup>
                  <m:r>
                    <w:rPr>
                      <w:rFonts w:ascii="Cambria Math" w:hAnsi="Cambria Math"/>
                    </w:rPr>
                    <m:t>-ϑ</m:t>
                  </m:r>
                </m:sup>
              </m:sSup>
            </m:num>
            <m:den>
              <m:sSup>
                <m:sSupPr>
                  <m:ctrlPr>
                    <w:rPr>
                      <w:rFonts w:ascii="Cambria Math" w:hAnsi="Cambria Math"/>
                      <w:i/>
                    </w:rPr>
                  </m:ctrlPr>
                </m:sSupPr>
                <m:e>
                  <m:r>
                    <w:rPr>
                      <w:rFonts w:ascii="Cambria Math" w:hAnsi="Cambria Math"/>
                    </w:rPr>
                    <m:t>γ</m:t>
                  </m:r>
                </m:e>
                <m:sup>
                  <m:r>
                    <w:rPr>
                      <w:rFonts w:ascii="Cambria Math" w:hAnsi="Cambria Math"/>
                    </w:rPr>
                    <m:t>'</m:t>
                  </m:r>
                </m:sup>
              </m:sSup>
              <m:sSup>
                <m:sSupPr>
                  <m:ctrlPr>
                    <w:rPr>
                      <w:rFonts w:ascii="Cambria Math" w:hAnsi="Cambria Math"/>
                      <w:i/>
                    </w:rPr>
                  </m:ctrlPr>
                </m:sSupPr>
                <m:e>
                  <m:sSubSup>
                    <m:sSubSupPr>
                      <m:ctrlPr>
                        <w:rPr>
                          <w:rFonts w:ascii="Cambria Math" w:hAnsi="Cambria Math"/>
                          <w:i/>
                        </w:rPr>
                      </m:ctrlPr>
                    </m:sSubSupPr>
                    <m:e>
                      <m:r>
                        <w:rPr>
                          <w:rFonts w:ascii="Cambria Math" w:hAnsi="Cambria Math"/>
                        </w:rPr>
                        <m:t>h</m:t>
                      </m:r>
                    </m:e>
                    <m:sub>
                      <m:r>
                        <w:rPr>
                          <w:rFonts w:ascii="Cambria Math" w:hAnsi="Cambria Math"/>
                        </w:rPr>
                        <m:t>o,t</m:t>
                      </m:r>
                    </m:sub>
                    <m:sup>
                      <m:r>
                        <w:rPr>
                          <w:rFonts w:ascii="Cambria Math" w:hAnsi="Cambria Math"/>
                        </w:rPr>
                        <m:t>'</m:t>
                      </m:r>
                    </m:sup>
                  </m:sSubSup>
                </m:e>
                <m:sup>
                  <m:r>
                    <w:rPr>
                      <w:rFonts w:ascii="Cambria Math" w:hAnsi="Cambria Math"/>
                    </w:rPr>
                    <m:t>1-ϑ</m:t>
                  </m:r>
                </m:sup>
              </m:sSup>
              <m:r>
                <w:rPr>
                  <w:rFonts w:ascii="Cambria Math" w:hAnsi="Cambria Math"/>
                </w:rPr>
                <m:t>+</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γ</m:t>
                      </m:r>
                    </m:e>
                    <m:sup>
                      <m:r>
                        <w:rPr>
                          <w:rFonts w:ascii="Cambria Math" w:hAnsi="Cambria Math"/>
                        </w:rPr>
                        <m:t>'</m:t>
                      </m:r>
                    </m:sup>
                  </m:sSup>
                </m:e>
              </m:d>
              <m:sSup>
                <m:sSupPr>
                  <m:ctrlPr>
                    <w:rPr>
                      <w:rFonts w:ascii="Cambria Math" w:hAnsi="Cambria Math"/>
                      <w:i/>
                    </w:rPr>
                  </m:ctrlPr>
                </m:sSupPr>
                <m:e>
                  <m:sSubSup>
                    <m:sSubSupPr>
                      <m:ctrlPr>
                        <w:rPr>
                          <w:rFonts w:ascii="Cambria Math" w:hAnsi="Cambria Math"/>
                          <w:i/>
                        </w:rPr>
                      </m:ctrlPr>
                    </m:sSubSupPr>
                    <m:e>
                      <m:r>
                        <w:rPr>
                          <w:rFonts w:ascii="Cambria Math" w:hAnsi="Cambria Math"/>
                        </w:rPr>
                        <m:t>h</m:t>
                      </m:r>
                    </m:e>
                    <m:sub>
                      <m:r>
                        <w:rPr>
                          <w:rFonts w:ascii="Cambria Math" w:hAnsi="Cambria Math"/>
                        </w:rPr>
                        <m:t>r,t</m:t>
                      </m:r>
                    </m:sub>
                    <m:sup>
                      <m:r>
                        <w:rPr>
                          <w:rFonts w:ascii="Cambria Math" w:hAnsi="Cambria Math"/>
                        </w:rPr>
                        <m:t>'</m:t>
                      </m:r>
                    </m:sup>
                  </m:sSubSup>
                </m:e>
                <m:sup>
                  <m:r>
                    <w:rPr>
                      <w:rFonts w:ascii="Cambria Math" w:hAnsi="Cambria Math"/>
                    </w:rPr>
                    <m:t>1-ϑ</m:t>
                  </m:r>
                </m:sup>
              </m:sSup>
            </m:den>
          </m:f>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t</m:t>
              </m:r>
            </m:sub>
            <m:sup>
              <m:sSup>
                <m:sSupPr>
                  <m:ctrlPr>
                    <w:rPr>
                      <w:rFonts w:ascii="Cambria Math" w:hAnsi="Cambria Math"/>
                      <w:i/>
                    </w:rPr>
                  </m:ctrlPr>
                </m:sSupPr>
                <m:e>
                  <m:r>
                    <w:rPr>
                      <w:rFonts w:ascii="Cambria Math" w:hAnsi="Cambria Math"/>
                    </w:rPr>
                    <m:t>​</m:t>
                  </m:r>
                </m:e>
                <m:sup>
                  <m:r>
                    <w:rPr>
                      <w:rFonts w:ascii="Cambria Math" w:hAnsi="Cambria Math"/>
                    </w:rPr>
                    <m:t>'</m:t>
                  </m:r>
                </m:sup>
              </m:sSup>
            </m:sup>
          </m:sSubSup>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14:paraId="33E9E00C" w14:textId="18DC4A7E" w:rsidR="009F49BD" w:rsidRPr="00D66FCF" w:rsidRDefault="00000000" w:rsidP="00137293">
      <w:pPr>
        <w:pStyle w:val="BodyText"/>
        <w:spacing w:line="360" w:lineRule="auto"/>
        <w:rPr>
          <w:rFonts w:asciiTheme="majorHAnsi" w:eastAsiaTheme="minorEastAsia" w:hAnsiTheme="majorHAnsi"/>
          <w:i/>
        </w:rPr>
      </w:pPr>
      <m:oMathPara>
        <m:oMath>
          <m:sSubSup>
            <m:sSubSupPr>
              <m:ctrlPr>
                <w:rPr>
                  <w:rFonts w:ascii="Cambria Math" w:hAnsi="Cambria Math"/>
                  <w:i/>
                </w:rPr>
              </m:ctrlPr>
            </m:sSubSupPr>
            <m:e>
              <m:r>
                <w:rPr>
                  <w:rFonts w:ascii="Cambria Math" w:hAnsi="Cambria Math"/>
                </w:rPr>
                <m:t>μ</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t</m:t>
              </m:r>
            </m:sub>
            <m:sup>
              <m:sSup>
                <m:sSupPr>
                  <m:ctrlPr>
                    <w:rPr>
                      <w:rFonts w:ascii="Cambria Math" w:hAnsi="Cambria Math"/>
                      <w:i/>
                    </w:rPr>
                  </m:ctrlPr>
                </m:sSupPr>
                <m:e>
                  <m:r>
                    <w:rPr>
                      <w:rFonts w:ascii="Cambria Math" w:hAnsi="Cambria Math"/>
                    </w:rPr>
                    <m:t>​</m:t>
                  </m:r>
                </m:e>
                <m:sup>
                  <m:r>
                    <w:rPr>
                      <w:rFonts w:ascii="Cambria Math" w:hAnsi="Cambria Math"/>
                    </w:rPr>
                    <m:t>'</m:t>
                  </m:r>
                </m:sup>
              </m:sSup>
            </m:sup>
          </m:sSubSup>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λ</m:t>
                  </m:r>
                </m:e>
                <m:sub>
                  <m:r>
                    <w:rPr>
                      <w:rFonts w:ascii="Cambria Math" w:hAnsi="Cambria Math"/>
                    </w:rPr>
                    <m:t>t+1</m:t>
                  </m:r>
                </m:sub>
                <m:sup>
                  <m:sSup>
                    <m:sSupPr>
                      <m:ctrlPr>
                        <w:rPr>
                          <w:rFonts w:ascii="Cambria Math" w:hAnsi="Cambria Math"/>
                          <w:i/>
                        </w:rPr>
                      </m:ctrlPr>
                    </m:sSupPr>
                    <m:e>
                      <m:r>
                        <w:rPr>
                          <w:rFonts w:ascii="Cambria Math" w:hAnsi="Cambria Math"/>
                        </w:rPr>
                        <m:t>​</m:t>
                      </m:r>
                    </m:e>
                    <m:sup>
                      <m:r>
                        <w:rPr>
                          <w:rFonts w:ascii="Cambria Math" w:hAnsi="Cambria Math"/>
                        </w:rPr>
                        <m:t>'</m:t>
                      </m:r>
                    </m:sup>
                  </m:sSup>
                </m:sup>
              </m:sSubSup>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L</m:t>
                  </m:r>
                </m:sup>
              </m:sSubSup>
              <m:r>
                <w:rPr>
                  <w:rFonts w:ascii="Cambria Math" w:eastAsiaTheme="minorEastAsia"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t+1</m:t>
                  </m:r>
                </m:sub>
                <m:sup>
                  <m:r>
                    <w:rPr>
                      <w:rFonts w:ascii="Cambria Math" w:hAnsi="Cambria Math"/>
                    </w:rPr>
                    <m:t>'</m:t>
                  </m:r>
                </m:sup>
              </m:sSubSup>
              <m:d>
                <m:dPr>
                  <m:ctrlPr>
                    <w:rPr>
                      <w:rFonts w:ascii="Cambria Math" w:eastAsiaTheme="minorEastAsia" w:hAnsi="Cambria Math"/>
                      <w:i/>
                    </w:rPr>
                  </m:ctrlPr>
                </m:dPr>
                <m:e>
                  <m:r>
                    <w:rPr>
                      <w:rFonts w:ascii="Cambria Math" w:eastAsiaTheme="minorEastAsia" w:hAnsi="Cambria Math"/>
                    </w:rPr>
                    <m:t>1-Υ</m:t>
                  </m:r>
                </m:e>
              </m:d>
              <m:d>
                <m:dPr>
                  <m:ctrlPr>
                    <w:rPr>
                      <w:rFonts w:ascii="Cambria Math" w:eastAsiaTheme="minorEastAsia" w:hAnsi="Cambria Math"/>
                      <w:i/>
                    </w:rPr>
                  </m:ctrlPr>
                </m:dPr>
                <m:e>
                  <m:r>
                    <w:rPr>
                      <w:rFonts w:ascii="Cambria Math" w:eastAsiaTheme="minorEastAsia" w:hAnsi="Cambria Math"/>
                    </w:rPr>
                    <m:t>1-</m:t>
                  </m:r>
                  <m:r>
                    <w:rPr>
                      <w:rFonts w:ascii="Cambria Math" w:hAnsi="Cambria Math"/>
                    </w:rPr>
                    <m:t>κ</m:t>
                  </m:r>
                  <m:ctrlPr>
                    <w:rPr>
                      <w:rFonts w:ascii="Cambria Math" w:hAnsi="Cambria Math"/>
                      <w:i/>
                    </w:rPr>
                  </m:ctrlPr>
                </m:e>
              </m:d>
            </m:e>
          </m:d>
        </m:oMath>
      </m:oMathPara>
    </w:p>
    <w:p w14:paraId="2E44F2F1" w14:textId="57F43037" w:rsidR="00541191" w:rsidRPr="00AF1DFA" w:rsidRDefault="00000000" w:rsidP="00E656EC">
      <w:pPr>
        <w:pStyle w:val="BodyText"/>
        <w:spacing w:line="360" w:lineRule="auto"/>
        <w:rPr>
          <w:rFonts w:asciiTheme="majorHAnsi" w:hAnsiTheme="majorHAnsi"/>
          <w:iCs/>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N</m:t>
                  </m:r>
                </m:e>
                <m:sub>
                  <m:r>
                    <w:rPr>
                      <w:rFonts w:ascii="Cambria Math" w:hAnsi="Cambria Math"/>
                    </w:rPr>
                    <m:t>t</m:t>
                  </m:r>
                </m:sub>
                <m:sup>
                  <m:r>
                    <w:rPr>
                      <w:rFonts w:ascii="Cambria Math" w:hAnsi="Cambria Math"/>
                    </w:rPr>
                    <m:t>'</m:t>
                  </m:r>
                </m:sup>
              </m:sSubSup>
            </m:e>
            <m:sup>
              <m:r>
                <w:rPr>
                  <w:rFonts w:ascii="Cambria Math" w:hAnsi="Cambria Math"/>
                </w:rPr>
                <m:t>ϱ</m:t>
              </m:r>
            </m:sup>
          </m:sSup>
          <m:r>
            <w:rPr>
              <w:rFonts w:ascii="Cambria Math" w:hAnsi="Cambria Math"/>
            </w:rPr>
            <m:t>=</m:t>
          </m:r>
          <m:sSubSup>
            <m:sSubSupPr>
              <m:ctrlPr>
                <w:rPr>
                  <w:rFonts w:ascii="Cambria Math" w:hAnsi="Cambria Math"/>
                  <w:i/>
                </w:rPr>
              </m:ctrlPr>
            </m:sSubSupPr>
            <m:e>
              <m:r>
                <w:rPr>
                  <w:rFonts w:ascii="Cambria Math" w:hAnsi="Cambria Math"/>
                </w:rPr>
                <m:t>λ</m:t>
              </m:r>
            </m:e>
            <m:sub>
              <m:r>
                <w:rPr>
                  <w:rFonts w:ascii="Cambria Math" w:hAnsi="Cambria Math"/>
                </w:rPr>
                <m:t>t</m:t>
              </m:r>
            </m:sub>
            <m:sup>
              <m:sSup>
                <m:sSupPr>
                  <m:ctrlPr>
                    <w:rPr>
                      <w:rFonts w:ascii="Cambria Math" w:hAnsi="Cambria Math"/>
                      <w:i/>
                    </w:rPr>
                  </m:ctrlPr>
                </m:sSupPr>
                <m:e>
                  <m:r>
                    <w:rPr>
                      <w:rFonts w:ascii="Cambria Math" w:hAnsi="Cambria Math"/>
                    </w:rPr>
                    <m:t>​</m:t>
                  </m:r>
                </m:e>
                <m:sup>
                  <m:r>
                    <w:rPr>
                      <w:rFonts w:ascii="Cambria Math" w:hAnsi="Cambria Math"/>
                    </w:rPr>
                    <m:t>'</m:t>
                  </m:r>
                </m:sup>
              </m:sSup>
            </m:sup>
          </m:sSubSup>
          <m:sSubSup>
            <m:sSubSupPr>
              <m:ctrlPr>
                <w:rPr>
                  <w:rFonts w:ascii="Cambria Math" w:hAnsi="Cambria Math"/>
                  <w:i/>
                </w:rPr>
              </m:ctrlPr>
            </m:sSubSupPr>
            <m:e>
              <m:r>
                <w:rPr>
                  <w:rFonts w:ascii="Cambria Math" w:hAnsi="Cambria Math"/>
                </w:rPr>
                <m:t>w</m:t>
              </m:r>
            </m:e>
            <m:sub>
              <m:r>
                <w:rPr>
                  <w:rFonts w:ascii="Cambria Math" w:hAnsi="Cambria Math"/>
                </w:rPr>
                <m:t>t</m:t>
              </m:r>
            </m:sub>
            <m:sup>
              <m:r>
                <w:rPr>
                  <w:rFonts w:ascii="Cambria Math" w:hAnsi="Cambria Math"/>
                </w:rPr>
                <m:t>'</m:t>
              </m:r>
            </m:sup>
          </m:sSubSup>
        </m:oMath>
      </m:oMathPara>
    </w:p>
    <w:p w14:paraId="2628E570" w14:textId="77777777" w:rsidR="00223F88" w:rsidRPr="009310B7" w:rsidRDefault="001A66DC" w:rsidP="00426E3A">
      <w:pPr>
        <w:pStyle w:val="Heading2"/>
      </w:pPr>
      <w:r w:rsidRPr="003B0495">
        <w:t>Lenders</w:t>
      </w:r>
      <w:r>
        <w:t xml:space="preserve"> (</w:t>
      </w:r>
      <w:r w:rsidR="00351CDC" w:rsidRPr="009310B7">
        <w:t>Unconstrained</w:t>
      </w:r>
      <w:r w:rsidRPr="009310B7">
        <w:t xml:space="preserve"> households</w:t>
      </w:r>
      <w:r>
        <w:t>)</w:t>
      </w:r>
    </w:p>
    <w:p w14:paraId="09F6C405" w14:textId="77777777" w:rsidR="00054561" w:rsidRPr="00B75BC1" w:rsidRDefault="001A66DC" w:rsidP="003D2960">
      <w:pPr>
        <w:pStyle w:val="BodyText"/>
      </w:pPr>
      <w:r>
        <w:t>Lenders</w:t>
      </w:r>
      <w:r w:rsidRPr="00B75BC1">
        <w:t xml:space="preserve"> function in dual roles: as consumers and as investors. As consumers, they demand goods, rental services, and home ownership</w:t>
      </w:r>
      <w:r w:rsidR="005B4AF1">
        <w:t>; they</w:t>
      </w:r>
      <w:r w:rsidRPr="00B75BC1">
        <w:t xml:space="preserve"> supply labor</w:t>
      </w:r>
      <w:r w:rsidR="005B4AF1">
        <w:t>;</w:t>
      </w:r>
      <w:r w:rsidR="005B4AF1" w:rsidRPr="00B75BC1">
        <w:t xml:space="preserve"> </w:t>
      </w:r>
      <w:r w:rsidRPr="00B75BC1">
        <w:t>and</w:t>
      </w:r>
      <w:r w:rsidR="005B4AF1">
        <w:t xml:space="preserve"> </w:t>
      </w:r>
      <w:r w:rsidR="00C232FD">
        <w:t xml:space="preserve">they </w:t>
      </w:r>
      <w:r w:rsidR="00C232FD" w:rsidRPr="00B75BC1">
        <w:t>value</w:t>
      </w:r>
      <w:r w:rsidRPr="00B75BC1">
        <w:t xml:space="preserve"> leisure. As investors, they buy properties as investments and rent them to</w:t>
      </w:r>
      <w:r w:rsidR="003A2323">
        <w:t xml:space="preserve"> renters. </w:t>
      </w:r>
      <w:r w:rsidRPr="00B75BC1">
        <w:t>Notably, investors do not gain direct utility from investment properties, viewing them instead as</w:t>
      </w:r>
      <w:r w:rsidR="00A20CED">
        <w:t xml:space="preserve"> a</w:t>
      </w:r>
      <w:r w:rsidRPr="00B75BC1">
        <w:t xml:space="preserve"> financial </w:t>
      </w:r>
      <w:r w:rsidR="001174F7" w:rsidRPr="00B75BC1">
        <w:t>tool</w:t>
      </w:r>
      <w:r w:rsidRPr="00B75BC1">
        <w:t>.</w:t>
      </w:r>
    </w:p>
    <w:p w14:paraId="5ACAAE7C" w14:textId="77777777" w:rsidR="00C81942" w:rsidRPr="00B75BC1" w:rsidRDefault="001A66DC">
      <w:pPr>
        <w:pStyle w:val="BodyText"/>
        <w:rPr>
          <w:rtl/>
        </w:rPr>
      </w:pPr>
      <w:r w:rsidRPr="00B75BC1">
        <w:t xml:space="preserve">The budget constraint of </w:t>
      </w:r>
      <w:r w:rsidR="005B333C">
        <w:t>lenders</w:t>
      </w:r>
      <w:r w:rsidRPr="00B75BC1">
        <w:t xml:space="preserve"> (in real terms of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hAnsi="Cambria Math"/>
          </w:rPr>
          <m:t>):</m:t>
        </m:r>
      </m:oMath>
    </w:p>
    <w:p w14:paraId="2C94AD81" w14:textId="77777777" w:rsidR="00AA0E39" w:rsidRPr="00DC3B05" w:rsidRDefault="001A66DC" w:rsidP="00DC3B05">
      <w:pPr>
        <w:pStyle w:val="BodyText"/>
        <w:spacing w:line="360" w:lineRule="auto"/>
        <w:rPr>
          <w:rFonts w:ascii="Cambria Math" w:hAnsi="Cambria Math"/>
          <w:rtl/>
          <w:oMath/>
        </w:rPr>
      </w:pPr>
      <m:oMathPara>
        <m:oMath>
          <m:r>
            <m:rPr>
              <m:sty m:val="p"/>
            </m:rP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r>
                    <m:rPr>
                      <m:sty m:val="p"/>
                    </m:rPr>
                    <w:rPr>
                      <w:rFonts w:ascii="Cambria Math" w:hAnsi="Cambria Math"/>
                    </w:rPr>
                    <m:t>-1</m:t>
                  </m:r>
                </m:sub>
              </m:sSub>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+Di</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 xml:space="preserve">,             </m:t>
          </m:r>
          <m:d>
            <m:dPr>
              <m:ctrlPr>
                <w:rPr>
                  <w:rFonts w:ascii="Cambria Math" w:hAnsi="Cambria Math"/>
                </w:rPr>
              </m:ctrlPr>
            </m:dPr>
            <m:e>
              <m:r>
                <m:rPr>
                  <m:sty m:val="p"/>
                </m:rPr>
                <w:rPr>
                  <w:rFonts w:ascii="Cambria Math" w:hAnsi="Cambria Math"/>
                </w:rPr>
                <m:t>5</m:t>
              </m:r>
            </m:e>
          </m:d>
        </m:oMath>
      </m:oMathPara>
    </w:p>
    <w:p w14:paraId="5ED0FB43" w14:textId="77777777" w:rsidR="00E86CC9" w:rsidRDefault="001A66DC" w:rsidP="003B0495">
      <w:pPr>
        <w:pStyle w:val="BodyText"/>
      </w:pPr>
      <w:r w:rsidRPr="00B75BC1">
        <w:t>w</w:t>
      </w:r>
      <w:r w:rsidR="00BA346B" w:rsidRPr="00B75BC1">
        <w:t>here</w:t>
      </w:r>
      <w:r w:rsidRPr="00B75BC1">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o,t</m:t>
            </m:r>
          </m:sub>
        </m:sSub>
      </m:oMath>
      <w:r w:rsidR="00F57838" w:rsidRPr="00B75BC1">
        <w:t xml:space="preserve"> </w:t>
      </w:r>
      <w:r w:rsidR="006254C4" w:rsidRPr="00B75BC1">
        <w:t>represents the</w:t>
      </w:r>
      <w:r w:rsidRPr="00B75BC1">
        <w:t xml:space="preserve"> </w:t>
      </w:r>
      <w:r w:rsidR="005B39CB" w:rsidRPr="00B75BC1">
        <w:t xml:space="preserve">quantity </w:t>
      </w:r>
      <w:r w:rsidRPr="00B75BC1">
        <w:t xml:space="preserve">of </w:t>
      </w:r>
      <w:r w:rsidR="005B39CB" w:rsidRPr="00B75BC1">
        <w:t xml:space="preserve">houses </w:t>
      </w:r>
      <w:r w:rsidRPr="00B75BC1">
        <w:t>purchased for ownership,</w:t>
      </w:r>
      <w:r w:rsidR="006254C4" w:rsidRPr="00B75BC1">
        <w:t xml:space="preserve"> </w:t>
      </w:r>
      <w:r w:rsidR="00787768">
        <w:t>and</w:t>
      </w:r>
      <w:r w:rsidR="00787768" w:rsidRPr="00B75BC1">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inv,t</m:t>
            </m:r>
          </m:sub>
        </m:sSub>
      </m:oMath>
      <w:r w:rsidR="009D51B8" w:rsidRPr="00B75BC1">
        <w:t xml:space="preserve"> </w:t>
      </w:r>
      <w:r w:rsidR="006254C4" w:rsidRPr="00B75BC1">
        <w:t>represents</w:t>
      </w:r>
      <w:r w:rsidR="009D51B8" w:rsidRPr="00B75BC1">
        <w:t xml:space="preserve"> </w:t>
      </w:r>
      <w:r w:rsidR="006254C4" w:rsidRPr="00B75BC1">
        <w:t>the</w:t>
      </w:r>
      <w:r w:rsidR="009D51B8" w:rsidRPr="00B75BC1">
        <w:t xml:space="preserve"> </w:t>
      </w:r>
      <w:r w:rsidR="000D4D50" w:rsidRPr="00B75BC1">
        <w:t xml:space="preserve">quantity </w:t>
      </w:r>
      <w:r w:rsidR="00BA346B" w:rsidRPr="00B75BC1">
        <w:t>of houses purchased for investment</w:t>
      </w:r>
      <w:r w:rsidR="005153F8" w:rsidRPr="00B75BC1">
        <w:t xml:space="preserve"> purposes</w:t>
      </w:r>
      <w:r w:rsidR="00BA346B" w:rsidRPr="00B75BC1">
        <w:t xml:space="preserve"> (</w:t>
      </w:r>
      <w:r w:rsidR="00D21F09" w:rsidRPr="00B75BC1">
        <w:t xml:space="preserve">with </w:t>
      </w:r>
      <w:r w:rsidR="00BA346B" w:rsidRPr="00B75BC1">
        <w:t xml:space="preserve">all investors </w:t>
      </w:r>
      <w:r w:rsidR="00D21F09" w:rsidRPr="00B75BC1">
        <w:t xml:space="preserve">being </w:t>
      </w:r>
      <w:r w:rsidR="005153F8" w:rsidRPr="00B75BC1">
        <w:t>identical</w:t>
      </w:r>
      <w:r w:rsidR="00BA346B" w:rsidRPr="00B75BC1">
        <w:t xml:space="preserve">). </w:t>
      </w:r>
      <w:r w:rsidR="005153F8" w:rsidRPr="00B75BC1">
        <w:t>I</w:t>
      </w:r>
      <w:r w:rsidR="00BA346B" w:rsidRPr="00B75BC1">
        <w:t xml:space="preserve">nvestors </w:t>
      </w:r>
      <w:r w:rsidR="005153F8" w:rsidRPr="00B75BC1">
        <w:t>lease</w:t>
      </w:r>
      <w:r w:rsidR="0082336C" w:rsidRPr="00B75BC1">
        <w:t xml:space="preserve"> out</w:t>
      </w:r>
      <w:r w:rsidR="00BA346B" w:rsidRPr="00B75BC1">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inv,t</m:t>
            </m:r>
          </m:sub>
        </m:sSub>
      </m:oMath>
      <w:r w:rsidR="005153F8" w:rsidRPr="00B75BC1">
        <w:t xml:space="preserve"> </w:t>
      </w:r>
      <w:r w:rsidR="003B0495">
        <w:rPr>
          <w:lang w:bidi="he-IL"/>
        </w:rPr>
        <w:t xml:space="preserve">dwellings </w:t>
      </w:r>
      <w:r w:rsidR="00BA346B" w:rsidRPr="00B75BC1">
        <w:t>to retail</w:t>
      </w:r>
      <w:r w:rsidR="00EB57B3" w:rsidRPr="00B75BC1">
        <w:t xml:space="preserve">ers </w:t>
      </w:r>
      <w:r w:rsidR="00B56528" w:rsidRPr="00B75BC1">
        <w:t xml:space="preserve">as </w:t>
      </w:r>
      <w:r w:rsidR="00D21F09" w:rsidRPr="00B75BC1">
        <w:t xml:space="preserve">an </w:t>
      </w:r>
      <w:r w:rsidR="00B56528" w:rsidRPr="00B75BC1">
        <w:t>intermediate good</w:t>
      </w:r>
      <w:r w:rsidR="00B56528" w:rsidRPr="00B75BC1">
        <w:rPr>
          <w:rFonts w:eastAsiaTheme="minorEastAsia"/>
        </w:rPr>
        <w:t xml:space="preserve"> </w:t>
      </w:r>
      <w:r w:rsidR="00B56528" w:rsidRPr="00B75BC1">
        <w:t xml:space="preserve">at </w:t>
      </w:r>
      <w:r w:rsidR="003B0495">
        <w:t xml:space="preserve">a </w:t>
      </w:r>
      <w:r w:rsidR="00B56528" w:rsidRPr="00B75BC1">
        <w:t xml:space="preserve">nominal price </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m</m:t>
            </m:r>
          </m:sup>
        </m:sSubSup>
      </m:oMath>
      <w:r w:rsidR="00B56528" w:rsidRPr="00B75BC1">
        <w:rPr>
          <w:rFonts w:eastAsiaTheme="minorEastAsia"/>
        </w:rPr>
        <w:t xml:space="preserve"> </w:t>
      </w:r>
      <w:r w:rsidR="00A20EA5" w:rsidRPr="00B75BC1">
        <w:rPr>
          <w:rFonts w:eastAsiaTheme="minorEastAsia"/>
        </w:rPr>
        <w:t>(</w:t>
      </w:r>
      <m:oMath>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m</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t</m:t>
            </m:r>
          </m:sub>
          <m:sup>
            <m:r>
              <w:rPr>
                <w:rFonts w:ascii="Cambria Math" w:eastAsiaTheme="minorEastAsia" w:hAnsi="Cambria Math"/>
              </w:rPr>
              <m:t>m</m:t>
            </m:r>
          </m:sup>
        </m:sSubSup>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eastAsiaTheme="minorEastAsia" w:hAnsi="Cambria Math"/>
          </w:rPr>
          <m:t>)</m:t>
        </m:r>
      </m:oMath>
      <w:r w:rsidR="004733DE" w:rsidRPr="00B75BC1">
        <w:t xml:space="preserve"> </w:t>
      </w:r>
      <w:r w:rsidR="00BA346B" w:rsidRPr="00B75BC1">
        <w:t xml:space="preserve">at the </w:t>
      </w:r>
      <w:r w:rsidR="005153F8" w:rsidRPr="00B75BC1">
        <w:t>start</w:t>
      </w:r>
      <w:r w:rsidR="00BA346B" w:rsidRPr="00B75BC1">
        <w:t xml:space="preserve"> of period </w:t>
      </w:r>
      <m:oMath>
        <m:r>
          <w:rPr>
            <w:rFonts w:ascii="Cambria Math" w:hAnsi="Cambria Math"/>
          </w:rPr>
          <m:t>t</m:t>
        </m:r>
      </m:oMath>
      <w:r w:rsidR="003B0495">
        <w:t>,</w:t>
      </w:r>
      <w:r w:rsidR="00BA346B" w:rsidRPr="00B75BC1">
        <w:t xml:space="preserve"> and </w:t>
      </w:r>
      <w:r w:rsidR="005153F8" w:rsidRPr="00B75BC1">
        <w:t>reclaim</w:t>
      </w:r>
      <w:r w:rsidR="00BA346B" w:rsidRPr="00B75BC1">
        <w:t xml:space="preserve"> </w:t>
      </w:r>
      <w:r w:rsidR="005153F8" w:rsidRPr="00B75BC1">
        <w:t>the</w:t>
      </w:r>
      <w:r w:rsidR="00E71A1E" w:rsidRPr="00B75BC1">
        <w:t xml:space="preserve"> </w:t>
      </w:r>
      <w:r w:rsidR="003B0495">
        <w:t>dwellings</w:t>
      </w:r>
      <w:r w:rsidR="003B0495" w:rsidRPr="00B75BC1">
        <w:t xml:space="preserve"> </w:t>
      </w:r>
      <w:r w:rsidR="00E71A1E" w:rsidRPr="00B75BC1">
        <w:t xml:space="preserve">at the end of period </w:t>
      </w:r>
      <m:oMath>
        <m:r>
          <w:rPr>
            <w:rFonts w:ascii="Cambria Math" w:hAnsi="Cambria Math"/>
          </w:rPr>
          <m:t>t</m:t>
        </m:r>
      </m:oMath>
      <w:r w:rsidR="00E71A1E" w:rsidRPr="00B75BC1">
        <w:t xml:space="preserve">. </w:t>
      </w:r>
      <w:r w:rsidR="006920CA" w:rsidRPr="00B75BC1">
        <w:t>Therefore</w:t>
      </w:r>
      <w:r w:rsidR="00CD7F49" w:rsidRPr="00B75BC1">
        <w:t>,</w:t>
      </w:r>
      <w:r w:rsidR="00791645" w:rsidRPr="00B75BC1">
        <w:t xml:space="preserve"> </w:t>
      </w:r>
      <w:r w:rsidR="00A22059" w:rsidRPr="00B75BC1">
        <w:t xml:space="preserve">only investors </w:t>
      </w:r>
      <w:r w:rsidR="006920CA" w:rsidRPr="00B75BC1">
        <w:t>are subject</w:t>
      </w:r>
      <w:r w:rsidR="00791645" w:rsidRPr="00B75BC1">
        <w:t xml:space="preserve"> </w:t>
      </w:r>
      <w:r w:rsidR="006920CA" w:rsidRPr="00B75BC1">
        <w:t xml:space="preserve">to </w:t>
      </w:r>
      <w:r w:rsidR="00BA346B" w:rsidRPr="00B75BC1">
        <w:t xml:space="preserve">capital gains or losses </w:t>
      </w:r>
      <w:r w:rsidR="006920CA" w:rsidRPr="00B75BC1">
        <w:t xml:space="preserve">when </w:t>
      </w:r>
      <w:r w:rsidR="00BA346B" w:rsidRPr="00B75BC1">
        <w:t xml:space="preserve">reselling </w:t>
      </w:r>
      <w:r w:rsidR="00C972BF" w:rsidRPr="00B75BC1">
        <w:t xml:space="preserve">in period </w:t>
      </w:r>
      <w:r w:rsidR="00C972BF" w:rsidRPr="00035B81">
        <w:rPr>
          <w:i/>
          <w:iCs/>
        </w:rPr>
        <w:t>t+1</w:t>
      </w:r>
      <w:r w:rsidR="00BA346B" w:rsidRPr="00B75BC1">
        <w:t xml:space="preserve">. </w:t>
      </w:r>
      <w:r w:rsidR="00F545BB" w:rsidRPr="00B75BC1">
        <w:t xml:space="preserve">It is important to </w:t>
      </w:r>
      <w:r w:rsidR="00EB6AB5" w:rsidRPr="00B75BC1">
        <w:t>recognize</w:t>
      </w:r>
      <w:r w:rsidR="00BA346B" w:rsidRPr="00B75BC1">
        <w:t xml:space="preserve"> that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00AA62A8" w:rsidRPr="00B75BC1">
        <w:t xml:space="preserve"> </w:t>
      </w:r>
      <w:r w:rsidR="00EB6AB5" w:rsidRPr="00B75BC1">
        <w:t>signifies</w:t>
      </w:r>
      <w:r w:rsidR="00AA62A8" w:rsidRPr="00B75BC1">
        <w:t xml:space="preserve"> </w:t>
      </w:r>
      <w:r w:rsidR="00B13118" w:rsidRPr="00B75BC1">
        <w:t>the</w:t>
      </w:r>
      <w:r w:rsidR="00AA62A8" w:rsidRPr="00B75BC1">
        <w:t xml:space="preserve"> real </w:t>
      </w:r>
      <w:r w:rsidR="00C07C29" w:rsidRPr="00B75BC1">
        <w:t>price of rental services i</w:t>
      </w:r>
      <w:r w:rsidR="00AA62A8" w:rsidRPr="00B75BC1">
        <w:t>n the economy</w:t>
      </w:r>
      <w:r w:rsidR="00B13118" w:rsidRPr="00B75BC1">
        <w:t>,</w:t>
      </w:r>
      <w:r w:rsidR="00AA62A8" w:rsidRPr="00B75BC1">
        <w:t xml:space="preserve"> </w:t>
      </w:r>
      <w:r w:rsidR="00C07C29" w:rsidRPr="00B75BC1">
        <w:t xml:space="preserve">which </w:t>
      </w:r>
      <w:r w:rsidR="00EB6AB5" w:rsidRPr="00B75BC1">
        <w:t>typically differs</w:t>
      </w:r>
      <w:r w:rsidR="00C07C29" w:rsidRPr="00B75BC1">
        <w:t xml:space="preserve"> </w:t>
      </w:r>
      <w:r w:rsidR="00EB6AB5" w:rsidRPr="00B75BC1">
        <w:t xml:space="preserve">from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oMath>
      <w:r w:rsidR="00C07C29" w:rsidRPr="00B75BC1">
        <w:t xml:space="preserve">, </w:t>
      </w:r>
      <w:r w:rsidR="00EB6AB5" w:rsidRPr="00B75BC1">
        <w:t>since</w:t>
      </w:r>
      <w:r w:rsidR="00C07C29" w:rsidRPr="00B75BC1">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oMath>
      <w:r w:rsidR="00B13118" w:rsidRPr="00B75BC1">
        <w:t xml:space="preserve"> i</w:t>
      </w:r>
      <w:r w:rsidR="000A26D7" w:rsidRPr="00B75BC1">
        <w:t xml:space="preserve">s the price of the </w:t>
      </w:r>
      <w:r w:rsidR="000A26D7" w:rsidRPr="00B75BC1">
        <w:lastRenderedPageBreak/>
        <w:t xml:space="preserve">intermediate </w:t>
      </w:r>
      <w:r w:rsidR="00EB6AB5" w:rsidRPr="00B75BC1">
        <w:t xml:space="preserve">housing </w:t>
      </w:r>
      <w:r w:rsidR="000A26D7" w:rsidRPr="00B75BC1">
        <w:t xml:space="preserve">good </w:t>
      </w:r>
      <w:r w:rsidR="00EB6AB5" w:rsidRPr="00B75BC1">
        <w:t>for</w:t>
      </w:r>
      <w:r w:rsidR="00B13118" w:rsidRPr="00B75BC1">
        <w:t xml:space="preserve"> </w:t>
      </w:r>
      <w:r w:rsidR="000A26D7" w:rsidRPr="00B75BC1">
        <w:t xml:space="preserve">retailers. </w:t>
      </w:r>
      <w:r w:rsidR="00716E2A">
        <w:t>Lenders</w:t>
      </w:r>
      <w:r w:rsidRPr="00B75BC1">
        <w:t xml:space="preserve"> receive dividends from three sources</w:t>
      </w:r>
      <w:r w:rsidR="00D34FFC" w:rsidRPr="00B75BC1">
        <w:t>:</w:t>
      </w:r>
      <w:r w:rsidR="00EB6AB5" w:rsidRPr="00B75BC1">
        <w:t xml:space="preserve"> firms producing consumer</w:t>
      </w:r>
      <w:r w:rsidRPr="00B75BC1">
        <w:t xml:space="preserve"> goods, </w:t>
      </w:r>
      <w:r w:rsidR="00B60BE9" w:rsidRPr="00B75BC1">
        <w:t>commercial banks</w:t>
      </w:r>
      <w:r w:rsidR="00EB6AB5" w:rsidRPr="00B75BC1">
        <w:t>,</w:t>
      </w:r>
      <w:r w:rsidR="00B60BE9" w:rsidRPr="00B75BC1">
        <w:t xml:space="preserve"> and retailers of </w:t>
      </w:r>
      <w:r w:rsidR="003B0495">
        <w:t>dwellings</w:t>
      </w:r>
      <w:r w:rsidR="00B60BE9" w:rsidRPr="00B75BC1">
        <w:t xml:space="preserve">. </w:t>
      </w:r>
    </w:p>
    <w:p w14:paraId="12442B89" w14:textId="22C22303" w:rsidR="00094220" w:rsidRPr="009F2DB3" w:rsidRDefault="001A66DC" w:rsidP="00473420">
      <w:pPr>
        <w:pStyle w:val="BodyText"/>
      </w:pPr>
      <w:r w:rsidRPr="00580A0E">
        <w:t>The first-order conditions</w:t>
      </w:r>
      <w:r>
        <w:t xml:space="preserve"> </w:t>
      </w:r>
      <w:r w:rsidR="005D6FBF">
        <w:t>for</w:t>
      </w:r>
      <w:r w:rsidR="00704B7E" w:rsidRPr="009F2DB3">
        <w:t xml:space="preserve"> the </w:t>
      </w:r>
      <w:r w:rsidR="00716E2A">
        <w:t>lenders</w:t>
      </w:r>
      <w:r w:rsidR="00473420">
        <w:t xml:space="preserve"> with respect to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oMath>
      <w:r w:rsidR="00473420">
        <w:rPr>
          <w:rFonts w:eastAsiaTheme="minorEastAsia"/>
        </w:rPr>
        <w:t xml:space="preserve"> </w:t>
      </w:r>
      <w:r w:rsidR="00473420" w:rsidRPr="00AF1DFA">
        <w:rPr>
          <w:rFonts w:eastAsiaTheme="minorEastAsia"/>
          <w:iCs/>
        </w:rPr>
        <w:t>are respectively</w:t>
      </w:r>
      <w:r w:rsidR="00473420">
        <w:rPr>
          <w:rFonts w:eastAsiaTheme="minorEastAsia"/>
          <w:iCs/>
        </w:rPr>
        <w:t xml:space="preserve"> (</w:t>
      </w:r>
      <w:r w:rsidR="00473420">
        <w:t>see</w:t>
      </w:r>
      <w:r w:rsidR="00243D2F">
        <w:t xml:space="preserve"> </w:t>
      </w:r>
      <w:r w:rsidR="005D6FBF">
        <w:t>supplementary material</w:t>
      </w:r>
      <w:r w:rsidRPr="009F2DB3">
        <w:t>):</w:t>
      </w:r>
      <w:r w:rsidR="00473420">
        <w:t xml:space="preserve"> </w:t>
      </w:r>
    </w:p>
    <w:p w14:paraId="5C46D35A" w14:textId="68DDE3B3" w:rsidR="00A23DC5" w:rsidRPr="009F2DB3" w:rsidRDefault="00000000" w:rsidP="001B7894">
      <w:pPr>
        <w:pStyle w:val="BodyText"/>
        <w:spacing w:line="360" w:lineRule="auto"/>
        <w:rPr>
          <w:rFonts w:asciiTheme="majorHAnsi" w:hAnsiTheme="majorHAnsi"/>
        </w:rPr>
      </w:pPr>
      <m:oMathPara>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t</m:t>
                      </m:r>
                    </m:sub>
                  </m:sSub>
                </m:num>
                <m:den>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c</m:t>
                      </m:r>
                    </m:sup>
                  </m:sSup>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den>
              </m:f>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ζ</m:t>
                  </m:r>
                </m:e>
                <m:sup>
                  <m:r>
                    <w:rPr>
                      <w:rFonts w:ascii="Cambria Math" w:hAnsi="Cambria Math"/>
                    </w:rPr>
                    <m:t>c</m:t>
                  </m:r>
                </m:sup>
              </m:sSup>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t</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ζ</m:t>
                      </m:r>
                    </m:e>
                    <m:sup>
                      <m:r>
                        <w:rPr>
                          <w:rFonts w:ascii="Cambria Math" w:hAnsi="Cambria Math"/>
                        </w:rPr>
                        <m:t>c</m:t>
                      </m:r>
                    </m:sup>
                  </m:sSup>
                  <m:sSub>
                    <m:sSubPr>
                      <m:ctrlPr>
                        <w:rPr>
                          <w:rFonts w:ascii="Cambria Math" w:hAnsi="Cambria Math"/>
                        </w:rPr>
                      </m:ctrlPr>
                    </m:sSubPr>
                    <m:e>
                      <m:r>
                        <w:rPr>
                          <w:rFonts w:ascii="Cambria Math" w:hAnsi="Cambria Math"/>
                        </w:rPr>
                        <m:t>C</m:t>
                      </m:r>
                    </m:e>
                    <m:sub>
                      <m:r>
                        <w:rPr>
                          <w:rFonts w:ascii="Cambria Math" w:hAnsi="Cambria Math"/>
                        </w:rPr>
                        <m:t>t</m:t>
                      </m:r>
                    </m:sub>
                  </m:sSub>
                </m:den>
              </m:f>
            </m:e>
          </m:d>
        </m:oMath>
      </m:oMathPara>
    </w:p>
    <w:p w14:paraId="24270075" w14:textId="1282F524" w:rsidR="004E363D" w:rsidRPr="009F2DB3" w:rsidRDefault="00000000" w:rsidP="001B7894">
      <w:pPr>
        <w:pStyle w:val="BodyText"/>
        <w:spacing w:line="360" w:lineRule="auto"/>
        <w:rPr>
          <w:rFonts w:asciiTheme="majorHAnsi" w:hAnsiTheme="majorHAnsi"/>
        </w:rPr>
      </w:pPr>
      <m:oMathPara>
        <m:oMath>
          <m:sSub>
            <m:sSubPr>
              <m:ctrlPr>
                <w:rPr>
                  <w:rFonts w:ascii="Cambria Math" w:hAnsi="Cambria Math"/>
                </w:rPr>
              </m:ctrlPr>
            </m:sSubPr>
            <m:e>
              <m:r>
                <w:rPr>
                  <w:rFonts w:ascii="Cambria Math" w:hAnsi="Cambria Math"/>
                </w:rPr>
                <m:t>j</m:t>
              </m:r>
            </m:e>
            <m:sub>
              <m:r>
                <w:rPr>
                  <w:rFonts w:ascii="Cambria Math" w:hAnsi="Cambria Math"/>
                </w:rPr>
                <m:t>t</m:t>
              </m:r>
            </m:sub>
          </m:sSub>
          <m:f>
            <m:fPr>
              <m:ctrlPr>
                <w:rPr>
                  <w:rFonts w:ascii="Cambria Math" w:hAnsi="Cambria Math"/>
                </w:rPr>
              </m:ctrlPr>
            </m:fPr>
            <m:num>
              <m:r>
                <w:rPr>
                  <w:rFonts w:ascii="Cambria Math" w:hAnsi="Cambria Math"/>
                </w:rPr>
                <m:t>γ</m:t>
              </m:r>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ϑ</m:t>
                      </m:r>
                    </m:sup>
                  </m:sSup>
                </m:sup>
              </m:sSubSup>
            </m:num>
            <m:den>
              <m:r>
                <w:rPr>
                  <w:rFonts w:ascii="Cambria Math" w:hAnsi="Cambria Math"/>
                </w:rPr>
                <m:t>γ</m:t>
              </m:r>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r>
                        <w:rPr>
                          <w:rFonts w:ascii="Cambria Math" w:hAnsi="Cambria Math"/>
                        </w:rPr>
                        <m:t>ϑ</m:t>
                      </m:r>
                    </m:sup>
                  </m:sSup>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γ</m:t>
                  </m:r>
                </m:e>
              </m:d>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r>
                        <w:rPr>
                          <w:rFonts w:ascii="Cambria Math" w:hAnsi="Cambria Math"/>
                        </w:rPr>
                        <m:t>ϑ</m:t>
                      </m:r>
                    </m:sup>
                  </m:sSup>
                </m:sup>
              </m:sSubSup>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t+1</m:t>
              </m:r>
            </m:sub>
          </m:sSub>
          <m:sSub>
            <m:sSubPr>
              <m:ctrlPr>
                <w:rPr>
                  <w:rFonts w:ascii="Cambria Math" w:hAnsi="Cambria Math"/>
                </w:rPr>
              </m:ctrlPr>
            </m:sSubPr>
            <m:e>
              <m:r>
                <w:rPr>
                  <w:rFonts w:ascii="Cambria Math" w:hAnsi="Cambria Math"/>
                </w:rPr>
                <m:t>q</m:t>
              </m:r>
            </m:e>
            <m:sub>
              <m:r>
                <w:rPr>
                  <w:rFonts w:ascii="Cambria Math" w:hAnsi="Cambria Math"/>
                </w:rPr>
                <m:t>t+1</m:t>
              </m:r>
            </m:sub>
          </m:sSub>
        </m:oMath>
      </m:oMathPara>
    </w:p>
    <w:p w14:paraId="07495D67" w14:textId="79A4EFCB" w:rsidR="00CE365A" w:rsidRPr="009F2DB3" w:rsidRDefault="00000000" w:rsidP="001B7894">
      <w:pPr>
        <w:pStyle w:val="BodyText"/>
        <w:spacing w:line="360" w:lineRule="auto"/>
        <w:rPr>
          <w:rFonts w:asciiTheme="majorHAnsi" w:hAnsiTheme="majorHAnsi"/>
        </w:rPr>
      </w:pPr>
      <m:oMathPara>
        <m:oMath>
          <m:sSub>
            <m:sSubPr>
              <m:ctrlPr>
                <w:rPr>
                  <w:rFonts w:ascii="Cambria Math" w:hAnsi="Cambria Math"/>
                </w:rPr>
              </m:ctrlPr>
            </m:sSubPr>
            <m:e>
              <m:r>
                <w:rPr>
                  <w:rFonts w:ascii="Cambria Math" w:hAnsi="Cambria Math"/>
                </w:rPr>
                <m:t>j</m:t>
              </m:r>
            </m:e>
            <m:sub>
              <m:r>
                <w:rPr>
                  <w:rFonts w:ascii="Cambria Math" w:hAnsi="Cambria Math"/>
                </w:rPr>
                <m:t>t</m:t>
              </m:r>
            </m:sub>
          </m:sSub>
          <m:f>
            <m:fPr>
              <m:ctrlPr>
                <w:rPr>
                  <w:rFonts w:ascii="Cambria Math" w:hAnsi="Cambria Math"/>
                </w:rPr>
              </m:ctrlPr>
            </m:fPr>
            <m:num>
              <m:d>
                <m:dPr>
                  <m:ctrlPr>
                    <w:rPr>
                      <w:rFonts w:ascii="Cambria Math" w:hAnsi="Cambria Math"/>
                    </w:rPr>
                  </m:ctrlPr>
                </m:dPr>
                <m:e>
                  <m:r>
                    <m:rPr>
                      <m:sty m:val="p"/>
                    </m:rPr>
                    <w:rPr>
                      <w:rFonts w:ascii="Cambria Math" w:hAnsi="Cambria Math"/>
                    </w:rPr>
                    <m:t>1-</m:t>
                  </m:r>
                  <m:r>
                    <w:rPr>
                      <w:rFonts w:ascii="Cambria Math" w:hAnsi="Cambria Math"/>
                    </w:rPr>
                    <m:t>γ</m:t>
                  </m:r>
                </m:e>
              </m:d>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ϑ</m:t>
                      </m:r>
                    </m:sup>
                  </m:sSup>
                </m:sup>
              </m:sSubSup>
            </m:num>
            <m:den>
              <m:r>
                <w:rPr>
                  <w:rFonts w:ascii="Cambria Math" w:hAnsi="Cambria Math"/>
                </w:rPr>
                <m:t>γ</m:t>
              </m:r>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r>
                        <w:rPr>
                          <w:rFonts w:ascii="Cambria Math" w:hAnsi="Cambria Math"/>
                        </w:rPr>
                        <m:t>ϑ</m:t>
                      </m:r>
                    </m:sup>
                  </m:sSup>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γ</m:t>
                  </m:r>
                </m:e>
              </m:d>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r>
                        <w:rPr>
                          <w:rFonts w:ascii="Cambria Math" w:hAnsi="Cambria Math"/>
                        </w:rPr>
                        <m:t>ϑ</m:t>
                      </m:r>
                    </m:sup>
                  </m:sSup>
                </m:sup>
              </m:sSubSup>
            </m:den>
          </m:f>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t</m:t>
              </m:r>
            </m:sub>
          </m:sSub>
        </m:oMath>
      </m:oMathPara>
    </w:p>
    <w:p w14:paraId="2490E42E" w14:textId="6A3FD8BA" w:rsidR="00490FF9" w:rsidRPr="009F2DB3" w:rsidRDefault="00000000" w:rsidP="001B7894">
      <w:pPr>
        <w:pStyle w:val="BodyText"/>
        <w:spacing w:line="360" w:lineRule="auto"/>
        <w:rPr>
          <w:rFonts w:asciiTheme="majorHAnsi" w:hAnsiTheme="majorHAnsi"/>
        </w:rPr>
      </w:pPr>
      <m:oMathPara>
        <m:oMath>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t</m:t>
              </m:r>
              <m:r>
                <m:rPr>
                  <m:sty m:val="p"/>
                </m:rP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t</m:t>
              </m:r>
            </m:sub>
          </m:sSub>
        </m:oMath>
      </m:oMathPara>
    </w:p>
    <w:p w14:paraId="658E6F2F" w14:textId="28B1E6E2" w:rsidR="00CE365A" w:rsidRPr="009F2DB3" w:rsidRDefault="00000000" w:rsidP="001B7894">
      <w:pPr>
        <w:pStyle w:val="BodyText"/>
        <w:spacing w:line="360" w:lineRule="auto"/>
        <w:rPr>
          <w:rFonts w:asciiTheme="majorHAnsi" w:hAnsiTheme="majorHAnsi"/>
        </w:rPr>
      </w:pPr>
      <m:oMathPara>
        <m:oMath>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ϱ</m:t>
              </m:r>
            </m:sup>
          </m:sSub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05F760A7" w14:textId="2B6D2379" w:rsidR="007F5BA6" w:rsidRPr="009F2DB3" w:rsidRDefault="00000000" w:rsidP="007F5BA6">
      <w:pPr>
        <w:pStyle w:val="BodyText"/>
        <w:rPr>
          <w:rFonts w:asciiTheme="majorHAnsi" w:hAnsiTheme="majorHAnsi"/>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m:rPr>
                  <m:sty m:val="p"/>
                </m:rPr>
                <w:rPr>
                  <w:rFonts w:ascii="Cambria Math" w:hAnsi="Cambria Math"/>
                </w:rPr>
                <m:t>∞</m:t>
              </m:r>
            </m:sup>
            <m:e>
              <m:r>
                <w:rPr>
                  <w:rFonts w:ascii="Cambria Math" w:hAnsi="Cambria Math"/>
                </w:rPr>
                <m:t>s</m:t>
              </m:r>
            </m:e>
          </m:nary>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i</m:t>
              </m:r>
            </m:sub>
            <m:sup>
              <m:r>
                <w:rPr>
                  <w:rFonts w:ascii="Cambria Math" w:hAnsi="Cambria Math"/>
                </w:rPr>
                <m:t>m</m:t>
              </m:r>
            </m:sup>
          </m:sSubSup>
        </m:oMath>
      </m:oMathPara>
    </w:p>
    <w:p w14:paraId="7E4398A4" w14:textId="48430340" w:rsidR="007F5BA6" w:rsidRDefault="001A66DC" w:rsidP="00015394">
      <w:pPr>
        <w:pStyle w:val="BodyText"/>
        <w:rPr>
          <w:rFonts w:asciiTheme="majorHAnsi" w:hAnsiTheme="majorHAnsi"/>
        </w:rPr>
      </w:pPr>
      <w:r>
        <w:rPr>
          <w:rFonts w:asciiTheme="majorHAnsi" w:eastAsiaTheme="minorEastAsia" w:hAnsiTheme="majorHAnsi"/>
        </w:rPr>
        <w:t xml:space="preserve">where </w:t>
      </w:r>
      <w:r>
        <w:rPr>
          <w:rFonts w:asciiTheme="majorHAnsi" w:hAnsiTheme="majorHAnsi"/>
        </w:rPr>
        <w:t>the</w:t>
      </w:r>
      <w:r w:rsidRPr="009F2DB3">
        <w:rPr>
          <w:rFonts w:asciiTheme="majorHAnsi" w:hAnsiTheme="majorHAnsi"/>
        </w:rPr>
        <w:t xml:space="preserve"> stochastic discount factor of the </w:t>
      </w:r>
      <w:r>
        <w:rPr>
          <w:rFonts w:asciiTheme="majorHAnsi" w:hAnsiTheme="majorHAnsi"/>
        </w:rPr>
        <w:t>lenders</w:t>
      </w:r>
      <w:r w:rsidR="00015394">
        <w:rPr>
          <w:rFonts w:asciiTheme="majorHAnsi" w:hAnsiTheme="majorHAnsi"/>
        </w:rPr>
        <w:t xml:space="preserve"> defined as </w:t>
      </w:r>
      <m:oMath>
        <m:r>
          <w:rPr>
            <w:rFonts w:ascii="Cambria Math" w:hAnsi="Cambria Math"/>
          </w:rPr>
          <m:t>sd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+i</m:t>
            </m:r>
          </m:sub>
        </m:sSub>
        <m:r>
          <m:rPr>
            <m:sty m:val="p"/>
          </m:rP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i</m:t>
            </m:r>
          </m:sup>
        </m:sSup>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t</m:t>
                </m:r>
                <m:r>
                  <m:rPr>
                    <m:sty m:val="p"/>
                  </m:rPr>
                  <w:rPr>
                    <w:rFonts w:ascii="Cambria Math" w:hAnsi="Cambria Math"/>
                  </w:rPr>
                  <m:t>+i</m:t>
                </m:r>
              </m:sub>
            </m:sSub>
          </m:num>
          <m:den>
            <m:sSub>
              <m:sSubPr>
                <m:ctrlPr>
                  <w:rPr>
                    <w:rFonts w:ascii="Cambria Math" w:hAnsi="Cambria Math"/>
                  </w:rPr>
                </m:ctrlPr>
              </m:sSubPr>
              <m:e>
                <m:r>
                  <w:rPr>
                    <w:rFonts w:ascii="Cambria Math" w:hAnsi="Cambria Math"/>
                  </w:rPr>
                  <m:t>λ</m:t>
                </m:r>
              </m:e>
              <m:sub>
                <m:r>
                  <w:rPr>
                    <w:rFonts w:ascii="Cambria Math" w:hAnsi="Cambria Math"/>
                  </w:rPr>
                  <m:t>t</m:t>
                </m:r>
              </m:sub>
            </m:sSub>
          </m:den>
        </m:f>
      </m:oMath>
      <w:r w:rsidR="00015394">
        <w:rPr>
          <w:rFonts w:asciiTheme="majorHAnsi" w:hAnsiTheme="majorHAnsi"/>
        </w:rPr>
        <w:t>.</w:t>
      </w:r>
    </w:p>
    <w:p w14:paraId="0243D1B4" w14:textId="41EF9C18" w:rsidR="00E81E26" w:rsidRDefault="001A66DC" w:rsidP="0012656E">
      <w:pPr>
        <w:pStyle w:val="BodyText"/>
        <w:rPr>
          <w:rFonts w:asciiTheme="majorHAnsi" w:hAnsiTheme="majorHAnsi"/>
        </w:rPr>
      </w:pPr>
      <w:r w:rsidRPr="00791FA1">
        <w:rPr>
          <w:rFonts w:asciiTheme="majorHAnsi" w:hAnsiTheme="majorHAnsi"/>
        </w:rPr>
        <w:t xml:space="preserve">In equilibrium, the </w:t>
      </w:r>
      <w:r w:rsidR="0012656E">
        <w:rPr>
          <w:rFonts w:asciiTheme="majorHAnsi" w:hAnsiTheme="majorHAnsi"/>
        </w:rPr>
        <w:t>home</w:t>
      </w:r>
      <w:r w:rsidR="0012656E" w:rsidRPr="008E2B36">
        <w:rPr>
          <w:rFonts w:asciiTheme="majorHAnsi" w:hAnsiTheme="majorHAnsi"/>
        </w:rPr>
        <w:t xml:space="preserve"> </w:t>
      </w:r>
      <w:r w:rsidR="0012656E">
        <w:rPr>
          <w:rFonts w:asciiTheme="majorHAnsi" w:hAnsiTheme="majorHAnsi"/>
        </w:rPr>
        <w:t>price</w:t>
      </w:r>
      <w:r w:rsidR="0012656E" w:rsidRPr="008E2B36">
        <w:rPr>
          <w:rFonts w:asciiTheme="majorHAnsi" w:hAnsiTheme="majorHAnsi"/>
        </w:rPr>
        <w:t xml:space="preserve"> </w:t>
      </w:r>
      <w:r w:rsidRPr="00791FA1">
        <w:rPr>
          <w:rFonts w:asciiTheme="majorHAnsi" w:hAnsiTheme="majorHAnsi"/>
        </w:rPr>
        <w:t xml:space="preserve">is determined by the present value of current and expected future payoffs that households obtain from dwelling retailers, subject to the transversality condition, which rules out non-fundamental (bubble) solutions. </w:t>
      </w:r>
      <w:r w:rsidR="00791FA1" w:rsidRPr="00791FA1">
        <w:rPr>
          <w:rFonts w:asciiTheme="majorHAnsi" w:hAnsiTheme="majorHAnsi"/>
        </w:rPr>
        <w:t>That is, we assume that</w:t>
      </w:r>
      <w:r w:rsidR="00311B7C">
        <w:rPr>
          <w:rFonts w:asciiTheme="majorHAnsi" w:hAnsiTheme="majorHAnsi"/>
        </w:rPr>
        <w:t>:</w:t>
      </w:r>
      <w:r w:rsidR="00791FA1" w:rsidRPr="00791FA1">
        <w:rPr>
          <w:rFonts w:asciiTheme="majorHAnsi" w:hAnsiTheme="majorHAnsi"/>
        </w:rPr>
        <w:t xml:space="preserve"> </w:t>
      </w:r>
      <m:oMath>
        <m:func>
          <m:funcPr>
            <m:ctrlPr>
              <w:rPr>
                <w:rFonts w:ascii="Cambria Math" w:hAnsi="Cambria Math"/>
                <w:i/>
              </w:rPr>
            </m:ctrlPr>
          </m:funcPr>
          <m:fName>
            <m:limLow>
              <m:limLowPr>
                <m:ctrlPr>
                  <w:rPr>
                    <w:rFonts w:ascii="Cambria Math" w:hAnsi="Cambria Math"/>
                    <w:i/>
                  </w:rPr>
                </m:ctrlPr>
              </m:limLowPr>
              <m:e>
                <m:r>
                  <w:rPr>
                    <w:rFonts w:ascii="Cambria Math" w:hAnsi="Cambria Math"/>
                  </w:rPr>
                  <m:t>lim</m:t>
                </m:r>
              </m:e>
              <m:lim>
                <m:r>
                  <w:rPr>
                    <w:rFonts w:ascii="Cambria Math" w:hAnsi="Cambria Math"/>
                  </w:rPr>
                  <m:t>T→∞</m:t>
                </m:r>
              </m:lim>
            </m:limLow>
          </m:fName>
          <m:e>
            <m:sSub>
              <m:sSubPr>
                <m:ctrlPr>
                  <w:rPr>
                    <w:rFonts w:ascii="Cambria Math" w:hAnsi="Cambria Math"/>
                    <w:i/>
                  </w:rPr>
                </m:ctrlPr>
              </m:sSubPr>
              <m:e>
                <m:r>
                  <w:rPr>
                    <w:rFonts w:ascii="Cambria Math" w:hAnsi="Cambria Math"/>
                  </w:rPr>
                  <m:t>E</m:t>
                </m:r>
              </m:e>
              <m:sub>
                <m:r>
                  <w:rPr>
                    <w:rFonts w:ascii="Cambria Math" w:hAnsi="Cambria Math"/>
                  </w:rPr>
                  <m:t>t</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sdf</m:t>
                    </m:r>
                  </m:e>
                  <m:sub>
                    <m:r>
                      <w:rPr>
                        <w:rFonts w:ascii="Cambria Math" w:hAnsi="Cambria Math"/>
                      </w:rPr>
                      <m:t>t,t+T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t+T</m:t>
                    </m:r>
                  </m:sub>
                </m:sSub>
              </m:e>
            </m:d>
          </m:e>
        </m:func>
        <m:r>
          <w:rPr>
            <w:rFonts w:ascii="Cambria Math" w:hAnsi="Cambria Math"/>
          </w:rPr>
          <m:t>=0</m:t>
        </m:r>
      </m:oMath>
      <w:r w:rsidR="009F6E8B" w:rsidRPr="00791FA1">
        <w:rPr>
          <w:rFonts w:asciiTheme="majorHAnsi" w:hAnsiTheme="majorHAnsi"/>
        </w:rPr>
        <w:t>.</w:t>
      </w:r>
      <w:r w:rsidR="00907FFA" w:rsidRPr="00791FA1">
        <w:rPr>
          <w:rFonts w:asciiTheme="majorHAnsi" w:hAnsiTheme="majorHAnsi"/>
        </w:rPr>
        <w:t xml:space="preserve"> </w:t>
      </w:r>
    </w:p>
    <w:p w14:paraId="7ED09F42" w14:textId="77777777" w:rsidR="00E81E26" w:rsidRDefault="001A66DC" w:rsidP="0012656E">
      <w:pPr>
        <w:pStyle w:val="BodyText"/>
        <w:rPr>
          <w:rFonts w:asciiTheme="majorHAnsi" w:hAnsiTheme="majorHAnsi"/>
        </w:rPr>
      </w:pPr>
      <w:r w:rsidRPr="00E81E26">
        <w:rPr>
          <w:rFonts w:asciiTheme="majorHAnsi" w:hAnsiTheme="majorHAnsi"/>
        </w:rPr>
        <w:t>The pricing condition is typically used to link home prices to rental prices in the economy. In our model, however, it is determined by the price of intermediate rental dwellings leased by retailers (see Section</w:t>
      </w:r>
      <w:r w:rsidRPr="00E81E26">
        <w:rPr>
          <w:rFonts w:ascii="Times New Roman" w:hAnsi="Times New Roman" w:cs="Times New Roman"/>
        </w:rPr>
        <w:t> </w:t>
      </w:r>
      <w:r w:rsidRPr="00E81E26">
        <w:rPr>
          <w:rFonts w:asciiTheme="majorHAnsi" w:hAnsiTheme="majorHAnsi"/>
        </w:rPr>
        <w:t>4.3). The divergence between these two prices stems from rent price rigidity and the presence of monopolistic competition (see Section</w:t>
      </w:r>
      <w:r w:rsidRPr="00E81E26">
        <w:rPr>
          <w:rFonts w:ascii="Times New Roman" w:hAnsi="Times New Roman" w:cs="Times New Roman"/>
        </w:rPr>
        <w:t> </w:t>
      </w:r>
      <w:r w:rsidRPr="00E81E26">
        <w:rPr>
          <w:rFonts w:asciiTheme="majorHAnsi" w:hAnsiTheme="majorHAnsi"/>
        </w:rPr>
        <w:t>4.3).</w:t>
      </w:r>
    </w:p>
    <w:p w14:paraId="247AA203" w14:textId="5EFF351E" w:rsidR="0063646C" w:rsidRPr="002C097E" w:rsidRDefault="001A66DC" w:rsidP="0063646C">
      <w:pPr>
        <w:pStyle w:val="BodyText"/>
        <w:rPr>
          <w:rFonts w:asciiTheme="majorHAnsi" w:hAnsiTheme="majorHAnsi"/>
        </w:rPr>
      </w:pPr>
      <w:r w:rsidRPr="002C097E">
        <w:rPr>
          <w:rFonts w:asciiTheme="majorHAnsi" w:hAnsiTheme="majorHAnsi"/>
        </w:rPr>
        <w:t>Based on the lender’s first-order conditions</w:t>
      </w:r>
      <w:r w:rsidR="00311B7C">
        <w:rPr>
          <w:rFonts w:asciiTheme="majorHAnsi" w:hAnsiTheme="majorHAnsi"/>
        </w:rPr>
        <w:t xml:space="preserve"> with respect to </w:t>
      </w:r>
      <m:oMath>
        <m:r>
          <w:rPr>
            <w:rFonts w:ascii="Cambria Math" w:hAnsi="Cambria Math"/>
          </w:rPr>
          <m:t xml:space="preserve"> </m:t>
        </m:r>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Sub>
      </m:oMath>
      <w:r w:rsidR="00311B7C">
        <w:rPr>
          <w:rFonts w:asciiTheme="majorHAnsi" w:hAnsiTheme="majorHAnsi"/>
        </w:rPr>
        <w:t xml:space="preserve"> and </w:t>
      </w:r>
      <m:oMath>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oMath>
      <w:r w:rsidR="00311B7C">
        <w:rPr>
          <w:rFonts w:asciiTheme="majorHAnsi" w:eastAsiaTheme="minorEastAsia" w:hAnsiTheme="majorHAnsi"/>
        </w:rPr>
        <w:t xml:space="preserve"> (see above)</w:t>
      </w:r>
      <w:r w:rsidRPr="002C097E">
        <w:rPr>
          <w:rFonts w:asciiTheme="majorHAnsi" w:hAnsiTheme="majorHAnsi"/>
        </w:rPr>
        <w:t>, the pricing formula can be expressed in terms of rental prices:</w:t>
      </w:r>
    </w:p>
    <w:p w14:paraId="0FA62163" w14:textId="065AC93F" w:rsidR="0063646C" w:rsidRPr="00AF2DA0" w:rsidRDefault="00000000" w:rsidP="0063646C">
      <w:pPr>
        <w:pStyle w:val="ListParagraph"/>
        <w:bidi w:val="0"/>
        <w:spacing w:after="120" w:line="360" w:lineRule="auto"/>
        <w:ind w:left="0"/>
        <w:contextualSpacing w:val="0"/>
        <w:jc w:val="both"/>
        <w:rPr>
          <w:rFonts w:ascii="Times New Roman" w:hAnsi="Times New Roman" w:cs="David"/>
          <w:i/>
          <w:sz w:val="24"/>
          <w:szCs w:val="24"/>
        </w:rPr>
      </w:pPr>
      <m:oMathPara>
        <m:oMath>
          <m:sSub>
            <m:sSubPr>
              <m:ctrlPr>
                <w:rPr>
                  <w:rFonts w:ascii="Cambria Math" w:hAnsi="Cambria Math" w:cs="David"/>
                  <w:i/>
                  <w:sz w:val="24"/>
                  <w:szCs w:val="24"/>
                </w:rPr>
              </m:ctrlPr>
            </m:sSubPr>
            <m:e>
              <m:r>
                <w:rPr>
                  <w:rFonts w:ascii="Cambria Math" w:hAnsi="Cambria Math" w:cs="David"/>
                  <w:sz w:val="24"/>
                  <w:szCs w:val="24"/>
                </w:rPr>
                <m:t>q</m:t>
              </m:r>
            </m:e>
            <m:sub>
              <m:r>
                <w:rPr>
                  <w:rFonts w:ascii="Cambria Math" w:hAnsi="Cambria Math" w:cs="David"/>
                  <w:sz w:val="24"/>
                  <w:szCs w:val="24"/>
                </w:rPr>
                <m:t>t</m:t>
              </m:r>
            </m:sub>
          </m:sSub>
          <m:r>
            <w:rPr>
              <w:rFonts w:ascii="Cambria Math" w:hAnsi="Cambria Math" w:cs="David"/>
              <w:sz w:val="24"/>
              <w:szCs w:val="24"/>
            </w:rPr>
            <m:t>=</m:t>
          </m:r>
          <m:sSub>
            <m:sSubPr>
              <m:ctrlPr>
                <w:rPr>
                  <w:rFonts w:ascii="Cambria Math" w:hAnsi="Cambria Math" w:cs="David"/>
                  <w:i/>
                  <w:sz w:val="24"/>
                  <w:szCs w:val="24"/>
                </w:rPr>
              </m:ctrlPr>
            </m:sSubPr>
            <m:e>
              <m:r>
                <w:rPr>
                  <w:rFonts w:ascii="Cambria Math" w:hAnsi="Cambria Math" w:cs="David"/>
                  <w:sz w:val="24"/>
                  <w:szCs w:val="24"/>
                </w:rPr>
                <m:t>E</m:t>
              </m:r>
            </m:e>
            <m:sub>
              <m:r>
                <w:rPr>
                  <w:rFonts w:ascii="Cambria Math" w:hAnsi="Cambria Math" w:cs="David"/>
                  <w:sz w:val="24"/>
                  <w:szCs w:val="24"/>
                </w:rPr>
                <m:t>t</m:t>
              </m:r>
            </m:sub>
          </m:sSub>
          <m:d>
            <m:dPr>
              <m:begChr m:val="{"/>
              <m:endChr m:val="}"/>
              <m:ctrlPr>
                <w:rPr>
                  <w:rFonts w:ascii="Cambria Math" w:hAnsi="Cambria Math" w:cs="David"/>
                  <w:i/>
                  <w:sz w:val="24"/>
                  <w:szCs w:val="24"/>
                </w:rPr>
              </m:ctrlPr>
            </m:dPr>
            <m:e>
              <m:nary>
                <m:naryPr>
                  <m:chr m:val="∑"/>
                  <m:limLoc m:val="subSup"/>
                  <m:ctrlPr>
                    <w:rPr>
                      <w:rFonts w:ascii="Cambria Math" w:hAnsi="Cambria Math" w:cs="David"/>
                      <w:i/>
                      <w:sz w:val="24"/>
                      <w:szCs w:val="24"/>
                    </w:rPr>
                  </m:ctrlPr>
                </m:naryPr>
                <m:sub>
                  <m:r>
                    <w:rPr>
                      <w:rFonts w:ascii="Cambria Math" w:hAnsi="Cambria Math" w:cs="David"/>
                      <w:sz w:val="24"/>
                      <w:szCs w:val="24"/>
                    </w:rPr>
                    <m:t>i=0</m:t>
                  </m:r>
                </m:sub>
                <m:sup>
                  <m:r>
                    <w:rPr>
                      <w:rFonts w:ascii="Cambria Math" w:hAnsi="Cambria Math" w:cs="David"/>
                      <w:sz w:val="24"/>
                      <w:szCs w:val="24"/>
                    </w:rPr>
                    <m:t>∞</m:t>
                  </m:r>
                </m:sup>
                <m:e>
                  <m:sSub>
                    <m:sSubPr>
                      <m:ctrlPr>
                        <w:rPr>
                          <w:rFonts w:ascii="Cambria Math" w:hAnsi="Cambria Math" w:cs="David"/>
                          <w:i/>
                          <w:sz w:val="24"/>
                          <w:szCs w:val="24"/>
                        </w:rPr>
                      </m:ctrlPr>
                    </m:sSubPr>
                    <m:e>
                      <m:r>
                        <w:rPr>
                          <w:rFonts w:ascii="Cambria Math" w:hAnsi="Cambria Math" w:cs="David"/>
                          <w:sz w:val="24"/>
                          <w:szCs w:val="24"/>
                        </w:rPr>
                        <m:t>sdf</m:t>
                      </m:r>
                    </m:e>
                    <m:sub>
                      <m:r>
                        <w:rPr>
                          <w:rFonts w:ascii="Cambria Math" w:hAnsi="Cambria Math" w:cs="David"/>
                          <w:sz w:val="24"/>
                          <w:szCs w:val="24"/>
                        </w:rPr>
                        <m:t>t,t+i</m:t>
                      </m:r>
                    </m:sub>
                  </m:sSub>
                  <m:f>
                    <m:fPr>
                      <m:ctrlPr>
                        <w:rPr>
                          <w:rFonts w:ascii="Cambria Math" w:eastAsiaTheme="minorEastAsia" w:hAnsi="Cambria Math" w:cs="David"/>
                          <w:i/>
                          <w:sz w:val="24"/>
                          <w:szCs w:val="24"/>
                        </w:rPr>
                      </m:ctrlPr>
                    </m:fPr>
                    <m:num>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U</m:t>
                          </m:r>
                        </m:e>
                        <m:sub>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h</m:t>
                              </m:r>
                            </m:e>
                            <m:sub>
                              <m:r>
                                <w:rPr>
                                  <w:rFonts w:ascii="Cambria Math" w:eastAsiaTheme="minorEastAsia" w:hAnsi="Cambria Math" w:cs="David"/>
                                  <w:sz w:val="24"/>
                                  <w:szCs w:val="24"/>
                                </w:rPr>
                                <m:t>o</m:t>
                              </m:r>
                            </m:sub>
                          </m:sSub>
                          <m:r>
                            <w:rPr>
                              <w:rFonts w:ascii="Cambria Math" w:eastAsiaTheme="minorEastAsia" w:hAnsi="Cambria Math" w:cs="David"/>
                              <w:sz w:val="24"/>
                              <w:szCs w:val="24"/>
                            </w:rPr>
                            <m:t>,t+i</m:t>
                          </m:r>
                        </m:sub>
                      </m:sSub>
                    </m:num>
                    <m:den>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U</m:t>
                          </m:r>
                        </m:e>
                        <m:sub>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h</m:t>
                              </m:r>
                            </m:e>
                            <m:sub>
                              <m:r>
                                <w:rPr>
                                  <w:rFonts w:ascii="Cambria Math" w:eastAsiaTheme="minorEastAsia" w:hAnsi="Cambria Math" w:cs="David"/>
                                  <w:sz w:val="24"/>
                                  <w:szCs w:val="24"/>
                                </w:rPr>
                                <m:t>r</m:t>
                              </m:r>
                            </m:sub>
                          </m:sSub>
                          <m:r>
                            <w:rPr>
                              <w:rFonts w:ascii="Cambria Math" w:eastAsiaTheme="minorEastAsia" w:hAnsi="Cambria Math" w:cs="David"/>
                              <w:sz w:val="24"/>
                              <w:szCs w:val="24"/>
                            </w:rPr>
                            <m:t>,t+i</m:t>
                          </m:r>
                        </m:sub>
                      </m:sSub>
                    </m:den>
                  </m:f>
                  <m:sSub>
                    <m:sSubPr>
                      <m:ctrlPr>
                        <w:rPr>
                          <w:rFonts w:ascii="Cambria Math" w:eastAsiaTheme="minorEastAsia" w:hAnsi="Cambria Math" w:cs="David"/>
                          <w:i/>
                          <w:sz w:val="24"/>
                          <w:szCs w:val="24"/>
                        </w:rPr>
                      </m:ctrlPr>
                    </m:sSubPr>
                    <m:e>
                      <m:r>
                        <w:rPr>
                          <w:rFonts w:ascii="Cambria Math" w:eastAsiaTheme="minorEastAsia" w:hAnsi="Cambria Math" w:cs="David"/>
                          <w:sz w:val="24"/>
                          <w:szCs w:val="24"/>
                        </w:rPr>
                        <m:t>r</m:t>
                      </m:r>
                    </m:e>
                    <m:sub>
                      <m:r>
                        <w:rPr>
                          <w:rFonts w:ascii="Cambria Math" w:eastAsiaTheme="minorEastAsia" w:hAnsi="Cambria Math" w:cs="David"/>
                          <w:sz w:val="24"/>
                          <w:szCs w:val="24"/>
                        </w:rPr>
                        <m:t>t+i</m:t>
                      </m:r>
                    </m:sub>
                  </m:sSub>
                </m:e>
              </m:nary>
            </m:e>
          </m:d>
        </m:oMath>
      </m:oMathPara>
    </w:p>
    <w:p w14:paraId="735B93B3" w14:textId="344C600A" w:rsidR="00372531" w:rsidRPr="002C097E" w:rsidRDefault="001A66DC" w:rsidP="002333DA">
      <w:pPr>
        <w:pStyle w:val="BodyText"/>
        <w:rPr>
          <w:rFonts w:asciiTheme="majorHAnsi" w:hAnsiTheme="majorHAnsi"/>
        </w:rPr>
      </w:pPr>
      <w:r>
        <w:rPr>
          <w:rFonts w:asciiTheme="majorHAnsi" w:hAnsiTheme="majorHAnsi"/>
        </w:rPr>
        <w:t xml:space="preserve">where </w:t>
      </w:r>
      <m:oMath>
        <m:f>
          <m:fPr>
            <m:ctrlPr>
              <w:rPr>
                <w:rFonts w:ascii="Cambria Math" w:eastAsiaTheme="minorEastAsia" w:hAnsi="Cambria Math" w:cs="David"/>
                <w:i/>
              </w:rPr>
            </m:ctrlPr>
          </m:fPr>
          <m:num>
            <m:sSub>
              <m:sSubPr>
                <m:ctrlPr>
                  <w:rPr>
                    <w:rFonts w:ascii="Cambria Math" w:eastAsiaTheme="minorEastAsia" w:hAnsi="Cambria Math" w:cs="David"/>
                    <w:i/>
                  </w:rPr>
                </m:ctrlPr>
              </m:sSubPr>
              <m:e>
                <m:r>
                  <w:rPr>
                    <w:rFonts w:ascii="Cambria Math" w:eastAsiaTheme="minorEastAsia" w:hAnsi="Cambria Math" w:cs="David"/>
                  </w:rPr>
                  <m:t>U</m:t>
                </m:r>
              </m:e>
              <m:sub>
                <m:sSub>
                  <m:sSubPr>
                    <m:ctrlPr>
                      <w:rPr>
                        <w:rFonts w:ascii="Cambria Math" w:eastAsiaTheme="minorEastAsia" w:hAnsi="Cambria Math" w:cs="David"/>
                        <w:i/>
                      </w:rPr>
                    </m:ctrlPr>
                  </m:sSubPr>
                  <m:e>
                    <m:r>
                      <w:rPr>
                        <w:rFonts w:ascii="Cambria Math" w:eastAsiaTheme="minorEastAsia" w:hAnsi="Cambria Math" w:cs="David"/>
                      </w:rPr>
                      <m:t>h</m:t>
                    </m:r>
                  </m:e>
                  <m:sub>
                    <m:r>
                      <w:rPr>
                        <w:rFonts w:ascii="Cambria Math" w:eastAsiaTheme="minorEastAsia" w:hAnsi="Cambria Math" w:cs="David"/>
                      </w:rPr>
                      <m:t>o</m:t>
                    </m:r>
                  </m:sub>
                </m:sSub>
                <m:r>
                  <w:rPr>
                    <w:rFonts w:ascii="Cambria Math" w:eastAsiaTheme="minorEastAsia" w:hAnsi="Cambria Math" w:cs="David"/>
                  </w:rPr>
                  <m:t>,t+i</m:t>
                </m:r>
              </m:sub>
            </m:sSub>
          </m:num>
          <m:den>
            <m:sSub>
              <m:sSubPr>
                <m:ctrlPr>
                  <w:rPr>
                    <w:rFonts w:ascii="Cambria Math" w:eastAsiaTheme="minorEastAsia" w:hAnsi="Cambria Math" w:cs="David"/>
                    <w:i/>
                  </w:rPr>
                </m:ctrlPr>
              </m:sSubPr>
              <m:e>
                <m:r>
                  <w:rPr>
                    <w:rFonts w:ascii="Cambria Math" w:eastAsiaTheme="minorEastAsia" w:hAnsi="Cambria Math" w:cs="David"/>
                  </w:rPr>
                  <m:t>U</m:t>
                </m:r>
              </m:e>
              <m:sub>
                <m:sSub>
                  <m:sSubPr>
                    <m:ctrlPr>
                      <w:rPr>
                        <w:rFonts w:ascii="Cambria Math" w:eastAsiaTheme="minorEastAsia" w:hAnsi="Cambria Math" w:cs="David"/>
                        <w:i/>
                      </w:rPr>
                    </m:ctrlPr>
                  </m:sSubPr>
                  <m:e>
                    <m:r>
                      <w:rPr>
                        <w:rFonts w:ascii="Cambria Math" w:eastAsiaTheme="minorEastAsia" w:hAnsi="Cambria Math" w:cs="David"/>
                      </w:rPr>
                      <m:t>h</m:t>
                    </m:r>
                  </m:e>
                  <m:sub>
                    <m:r>
                      <w:rPr>
                        <w:rFonts w:ascii="Cambria Math" w:eastAsiaTheme="minorEastAsia" w:hAnsi="Cambria Math" w:cs="David"/>
                      </w:rPr>
                      <m:t>r</m:t>
                    </m:r>
                  </m:sub>
                </m:sSub>
                <m:r>
                  <w:rPr>
                    <w:rFonts w:ascii="Cambria Math" w:eastAsiaTheme="minorEastAsia" w:hAnsi="Cambria Math" w:cs="David"/>
                  </w:rPr>
                  <m:t>,t+i</m:t>
                </m:r>
              </m:sub>
            </m:sSub>
          </m:den>
        </m:f>
      </m:oMath>
      <w:r>
        <w:rPr>
          <w:rFonts w:asciiTheme="majorHAnsi" w:hAnsiTheme="majorHAnsi"/>
        </w:rPr>
        <w:t xml:space="preserve"> </w:t>
      </w:r>
      <w:r w:rsidR="00D64DB5">
        <w:rPr>
          <w:rFonts w:asciiTheme="majorHAnsi" w:hAnsiTheme="majorHAnsi"/>
        </w:rPr>
        <w:t xml:space="preserve"> </w:t>
      </w:r>
      <w:r w:rsidR="005A4065" w:rsidRPr="002C097E">
        <w:rPr>
          <w:rFonts w:asciiTheme="majorHAnsi" w:hAnsiTheme="majorHAnsi"/>
        </w:rPr>
        <w:t>denotes the marginal utility ratio of lenders, which arises here due to the CES assumption in the utility function</w:t>
      </w:r>
      <w:r w:rsidR="00CA2798">
        <w:rPr>
          <w:rFonts w:asciiTheme="majorHAnsi" w:hAnsiTheme="majorHAnsi"/>
        </w:rPr>
        <w:t xml:space="preserve"> and the rent market </w:t>
      </w:r>
      <w:r w:rsidR="00CA2798">
        <w:rPr>
          <w:rFonts w:asciiTheme="majorHAnsi" w:hAnsiTheme="majorHAnsi"/>
        </w:rPr>
        <w:lastRenderedPageBreak/>
        <w:t>structure</w:t>
      </w:r>
      <w:r w:rsidR="005A4065" w:rsidRPr="002C097E">
        <w:rPr>
          <w:rFonts w:asciiTheme="majorHAnsi" w:hAnsiTheme="majorHAnsi"/>
        </w:rPr>
        <w:t xml:space="preserve">. </w:t>
      </w:r>
      <w:r w:rsidR="00186A9A" w:rsidRPr="002C097E">
        <w:rPr>
          <w:rFonts w:asciiTheme="majorHAnsi" w:hAnsiTheme="majorHAnsi"/>
        </w:rPr>
        <w:t xml:space="preserve">In the conventional formulation found in the literature—namely, the user cost approach—this marginal utility ratio does not </w:t>
      </w:r>
      <w:r w:rsidR="004F4861">
        <w:rPr>
          <w:rFonts w:asciiTheme="majorHAnsi" w:hAnsiTheme="majorHAnsi"/>
        </w:rPr>
        <w:t>appear.</w:t>
      </w:r>
      <w:r w:rsidRPr="003C31AE">
        <w:rPr>
          <w:rStyle w:val="FootnoteReference"/>
        </w:rPr>
        <w:footnoteReference w:id="5"/>
      </w:r>
      <w:r>
        <w:rPr>
          <w:rFonts w:asciiTheme="majorHAnsi" w:hAnsiTheme="majorHAnsi"/>
        </w:rPr>
        <w:t xml:space="preserve"> </w:t>
      </w:r>
      <w:r w:rsidRPr="002C097E">
        <w:rPr>
          <w:rFonts w:asciiTheme="majorHAnsi" w:hAnsiTheme="majorHAnsi"/>
        </w:rPr>
        <w:t>If there is perfect substitutability between renting and owning</w:t>
      </w:r>
      <w:r w:rsidR="000A70B4">
        <w:rPr>
          <w:rFonts w:asciiTheme="majorHAnsi" w:hAnsiTheme="majorHAnsi"/>
        </w:rPr>
        <w:t xml:space="preserve"> </w:t>
      </w:r>
      <w:r w:rsidR="000A70B4" w:rsidRPr="008E1A94">
        <w:rPr>
          <w:rFonts w:asciiTheme="majorHAnsi" w:hAnsiTheme="majorHAnsi"/>
        </w:rPr>
        <w:t>(</w:t>
      </w:r>
      <m:oMath>
        <m:r>
          <w:rPr>
            <w:rFonts w:ascii="Cambria Math" w:hAnsi="Cambria Math"/>
          </w:rPr>
          <m:t>ε→∞</m:t>
        </m:r>
      </m:oMath>
      <w:r w:rsidR="000A70B4" w:rsidRPr="008E1A94">
        <w:rPr>
          <w:rFonts w:asciiTheme="majorHAnsi" w:hAnsiTheme="majorHAnsi"/>
        </w:rPr>
        <w:t>)</w:t>
      </w:r>
      <w:r w:rsidRPr="002C097E">
        <w:rPr>
          <w:rFonts w:asciiTheme="majorHAnsi" w:hAnsiTheme="majorHAnsi"/>
        </w:rPr>
        <w:t>, and a rented dwelling is equivalent to an owned dwelling in the CES utility function</w:t>
      </w:r>
      <w:r w:rsidR="000A70B4">
        <w:rPr>
          <w:rFonts w:asciiTheme="majorHAnsi" w:hAnsiTheme="majorHAnsi"/>
        </w:rPr>
        <w:t xml:space="preserve"> </w:t>
      </w:r>
      <w:r w:rsidR="000A70B4" w:rsidRPr="008E1A94">
        <w:rPr>
          <w:rFonts w:asciiTheme="majorHAnsi" w:hAnsiTheme="majorHAnsi"/>
        </w:rPr>
        <w:t>(</w:t>
      </w:r>
      <m:oMath>
        <m:r>
          <w:rPr>
            <w:rFonts w:ascii="Cambria Math" w:hAnsi="Cambria Math"/>
          </w:rPr>
          <m:t>γ=0.5</m:t>
        </m:r>
      </m:oMath>
      <w:r w:rsidR="000A70B4">
        <w:rPr>
          <w:rFonts w:asciiTheme="majorHAnsi" w:hAnsiTheme="majorHAnsi"/>
        </w:rPr>
        <w:t>)</w:t>
      </w:r>
      <w:r w:rsidRPr="002C097E">
        <w:rPr>
          <w:rFonts w:asciiTheme="majorHAnsi" w:hAnsiTheme="majorHAnsi"/>
        </w:rPr>
        <w:t xml:space="preserve">, then the ratio equals 1, and the standard pricing equation is recovered. </w:t>
      </w:r>
      <w:r w:rsidR="00F20D3B" w:rsidRPr="00F20D3B">
        <w:rPr>
          <w:rFonts w:asciiTheme="majorHAnsi" w:hAnsiTheme="majorHAnsi"/>
        </w:rPr>
        <w:t>In this respect, our study advances the conventional framework in the literature by incorporating investor preferences—represented by lenders in our model—into the determination of home prices. This approach departs from the standard view in which home prices are driven solely by the price of dwellings, thereby highlighting the additional role of investor behavior in housing market dynamics.</w:t>
      </w:r>
      <w:r w:rsidR="004975A8">
        <w:rPr>
          <w:rFonts w:asciiTheme="majorHAnsi" w:hAnsiTheme="majorHAnsi"/>
        </w:rPr>
        <w:t xml:space="preserve"> </w:t>
      </w:r>
    </w:p>
    <w:p w14:paraId="1B3E37D6" w14:textId="77777777" w:rsidR="00D721DE" w:rsidRPr="00133A51" w:rsidRDefault="001A66DC" w:rsidP="00426E3A">
      <w:pPr>
        <w:pStyle w:val="Heading2"/>
      </w:pPr>
      <w:r>
        <w:t>R</w:t>
      </w:r>
      <w:r w:rsidR="00133A51" w:rsidRPr="00133A51">
        <w:t>etailers</w:t>
      </w:r>
      <w:bookmarkStart w:id="17" w:name="retailers"/>
    </w:p>
    <w:p w14:paraId="3CF0BF52" w14:textId="452F458E" w:rsidR="0004228E" w:rsidRPr="007C2A1E" w:rsidRDefault="001A66DC" w:rsidP="003C4DA2">
      <w:pPr>
        <w:pStyle w:val="BodyText"/>
        <w:rPr>
          <w:rFonts w:asciiTheme="majorHAnsi" w:hAnsiTheme="majorHAnsi" w:cs="Segoe UI"/>
        </w:rPr>
      </w:pPr>
      <w:r w:rsidRPr="003D44EC">
        <w:t xml:space="preserve">The objective of this section is to </w:t>
      </w:r>
      <w:r w:rsidR="00734BA5">
        <w:t>generate</w:t>
      </w:r>
      <w:r w:rsidRPr="003D44EC">
        <w:t xml:space="preserve"> nominal rigidity in rental prices, a phenomenon </w:t>
      </w:r>
      <w:r w:rsidR="00E00B7D" w:rsidRPr="003D44EC">
        <w:t>observ</w:t>
      </w:r>
      <w:r w:rsidR="00E00B7D">
        <w:t>ed</w:t>
      </w:r>
      <w:r w:rsidR="00E00B7D" w:rsidRPr="003D44EC">
        <w:t xml:space="preserve"> </w:t>
      </w:r>
      <w:r w:rsidRPr="003D44EC">
        <w:t>in the Israeli market as shown by</w:t>
      </w:r>
      <w:r w:rsidR="00697EAF">
        <w:t xml:space="preserve"> </w:t>
      </w:r>
      <w:r w:rsidR="00697EAF" w:rsidRPr="005069B7">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{"citationID":"kJFtfNtq","properties":{"formattedCitation":"Raz-Dror (2019)","plainCitation":"Raz-Dror (2019)","noteIndex":0},"citationItems":[{"id":1215,"uris":["http://zotero.org/users/6680486/items/CY4ZCYAA"],"itemData":{"id":1215,"type":"article-journal","citation-key":"raz-drorChangesRentIsrael2019","container-title":"Israel Economic Review","issue":"1","source":"Google Scholar","title":"The changes in rent in israel during the years of the housing crisis 2008–2015","URL":"https://papers.ssrn.com/sol3/papers.cfm?abstract_id=3481727","volume":"17","author":[{"family":"Raz-Dror","given":"Ofer"}],"accessed":{"date-parts":[["2024",2,22]]},"issued":{"date-parts":[["2019"]]}}}],"schema":"https://github.com/citation-style-language/schema/raw/master/csl-citation.json"} </w:instrText>
      </w:r>
      <w:r w:rsidR="00697EAF" w:rsidRPr="005069B7">
        <w:rPr>
          <w:rFonts w:asciiTheme="majorHAnsi" w:hAnsiTheme="majorHAnsi" w:cs="David"/>
          <w:color w:val="0081AD"/>
          <w:lang w:bidi="he-IL"/>
        </w:rPr>
        <w:fldChar w:fldCharType="separate"/>
      </w:r>
      <w:r w:rsidR="00EC7FDA" w:rsidRPr="00BB07DE">
        <w:rPr>
          <w:rFonts w:asciiTheme="majorHAnsi" w:hAnsiTheme="majorHAnsi" w:cs="David"/>
          <w:color w:val="0081AD"/>
          <w:lang w:bidi="he-IL"/>
        </w:rPr>
        <w:t>Raz-Dror (2019)</w:t>
      </w:r>
      <w:r w:rsidR="00697EAF" w:rsidRPr="005069B7">
        <w:rPr>
          <w:rFonts w:asciiTheme="majorHAnsi" w:hAnsiTheme="majorHAnsi" w:cs="David"/>
          <w:color w:val="0081AD"/>
          <w:lang w:bidi="he-IL"/>
        </w:rPr>
        <w:fldChar w:fldCharType="end"/>
      </w:r>
      <w:r w:rsidRPr="003D44EC">
        <w:t xml:space="preserve">. This rigidity is characterized by the significantly lower volatility of rental prices </w:t>
      </w:r>
      <w:r w:rsidR="003B0495">
        <w:t>than</w:t>
      </w:r>
      <w:r w:rsidRPr="003D44EC">
        <w:t xml:space="preserve"> </w:t>
      </w:r>
      <w:r w:rsidR="0043566D">
        <w:t>of</w:t>
      </w:r>
      <w:r w:rsidR="0043566D" w:rsidRPr="003D44EC">
        <w:t xml:space="preserve"> </w:t>
      </w:r>
      <w:r w:rsidRPr="003D44EC">
        <w:t>ho</w:t>
      </w:r>
      <w:r w:rsidR="003B0495">
        <w:t>m</w:t>
      </w:r>
      <w:r w:rsidRPr="003D44EC">
        <w:t>e prices.</w:t>
      </w:r>
      <w:r w:rsidR="00DE2D85">
        <w:t xml:space="preserve"> </w:t>
      </w:r>
      <w:r w:rsidRPr="0004228E">
        <w:t>A comparison between</w:t>
      </w:r>
      <w:r w:rsidR="00697EAF">
        <w:t xml:space="preserve"> </w:t>
      </w:r>
      <w:r w:rsidR="00697EAF" w:rsidRPr="005069B7">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{"citationID":"J7hXnHmi","properties":{"formattedCitation":"Raz-Dror (2019)","plainCitation":"Raz-Dror (2019)","noteIndex":0},"citationItems":[{"id":1215,"uris":["http://zotero.org/users/6680486/items/CY4ZCYAA"],"itemData":{"id":1215,"type":"article-journal","citation-key":"raz-drorChangesRentIsrael2019","container-title":"Israel Economic Review","issue":"1","source":"Google Scholar","title":"The changes in rent in israel during the years of the housing crisis 2008–2015","URL":"https://papers.ssrn.com/sol3/papers.cfm?abstract_id=3481727","volume":"17","author":[{"family":"Raz-Dror","given":"Ofer"}],"accessed":{"date-parts":[["2024",2,22]]},"issued":{"date-parts":[["2019"]]}}}],"schema":"https://github.com/citation-style-language/schema/raw/master/csl-citation.json"} </w:instrText>
      </w:r>
      <w:r w:rsidR="00697EAF" w:rsidRPr="005069B7">
        <w:rPr>
          <w:rFonts w:asciiTheme="majorHAnsi" w:hAnsiTheme="majorHAnsi" w:cs="David"/>
          <w:color w:val="0081AD"/>
          <w:lang w:bidi="he-IL"/>
        </w:rPr>
        <w:fldChar w:fldCharType="separate"/>
      </w:r>
      <w:r w:rsidR="00EC7FDA" w:rsidRPr="004E3A48">
        <w:rPr>
          <w:rFonts w:asciiTheme="majorHAnsi" w:hAnsiTheme="majorHAnsi" w:cs="David"/>
          <w:color w:val="0081AD"/>
          <w:lang w:bidi="he-IL"/>
        </w:rPr>
        <w:t>Raz-Dror (2019)</w:t>
      </w:r>
      <w:r w:rsidR="00697EAF" w:rsidRPr="005069B7">
        <w:rPr>
          <w:rFonts w:asciiTheme="majorHAnsi" w:hAnsiTheme="majorHAnsi" w:cs="David"/>
          <w:color w:val="0081AD"/>
          <w:lang w:bidi="he-IL"/>
        </w:rPr>
        <w:fldChar w:fldCharType="end"/>
      </w:r>
      <w:r w:rsidR="00697EAF" w:rsidRPr="005069B7">
        <w:rPr>
          <w:rFonts w:asciiTheme="majorHAnsi" w:hAnsiTheme="majorHAnsi" w:cs="David"/>
          <w:color w:val="0081AD"/>
          <w:lang w:bidi="he-IL"/>
        </w:rPr>
        <w:t xml:space="preserve"> </w:t>
      </w:r>
      <w:r w:rsidRPr="0004228E">
        <w:t xml:space="preserve">and </w:t>
      </w:r>
      <w:r w:rsidR="007C2A1E">
        <w:rPr>
          <w:rFonts w:asciiTheme="majorHAnsi" w:hAnsiTheme="majorHAnsi" w:cs="Segoe UI"/>
        </w:rPr>
        <w:t xml:space="preserve"> </w:t>
      </w:r>
      <w:r w:rsidR="007C2A1E" w:rsidRPr="005069B7">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{"citationID":"GQdb35jA","properties":{"formattedCitation":"Ribon and Sayag (2013)","plainCitation":"Ribon and Sayag (2013)","noteIndex":0},"citationItems":[{"id":1667,"uris":["http://zotero.org/users/6680486/items/PC8VQGMI"],"itemData":{"id":1667,"type":"article","abstract":"The paper studies pricing behavior in Israel, using a very large dataset containing more than 3 million observations drawn from the Israel Central Bureau of Statistics (CBS) database, covering all CPI components except housing and fruit and vegetables. The mean duration between price changes is about 6 to 9 months, depending on the method of computation. We find considerable heterogeneity in the frequency of price changes within and between sectors. We also find that the inflation environment, outlet characteristics and seasonality affect pricing behavior. Changes in VAT have some impact on duration but generally only affect the size of price changes of the most flexible prices.\nAccording to our analysis, the size of the average price change is 3.5%. Price reductions constitute about a third of price changes, and their average size, about 10%, is similar to that of price increases","citation-key":"ribonPriceSettingBehavior2013a","collection-number":"2013.07","collection-title":"Discussion Paper Series","publisher-place":"Research Department Bank of Israel","source":"Google Scholar","title":"Price Setting Behavior in Israel An Empirical Analysis Using Microdata","URL":"https://boi.org.il/media/m41lhbv0/dp1307e.pdf","author":[{"family":"Ribon","given":"Sigal"},{"family":"Sayag","given":"Doron"}],"accessed":{"date-parts":[["2024",5,19]]},"issued":{"date-parts":[["2013",6]]}}}],"schema":"https://github.com/citation-style-language/schema/raw/master/csl-citation.json"} </w:instrText>
      </w:r>
      <w:r w:rsidR="007C2A1E" w:rsidRPr="005069B7">
        <w:rPr>
          <w:rFonts w:asciiTheme="majorHAnsi" w:hAnsiTheme="majorHAnsi" w:cs="David"/>
          <w:color w:val="0081AD"/>
          <w:lang w:bidi="he-IL"/>
        </w:rPr>
        <w:fldChar w:fldCharType="separate"/>
      </w:r>
      <w:r w:rsidR="00EC7FDA" w:rsidRPr="004E3A48">
        <w:rPr>
          <w:rFonts w:asciiTheme="majorHAnsi" w:hAnsiTheme="majorHAnsi" w:cs="David"/>
          <w:color w:val="0081AD"/>
          <w:lang w:bidi="he-IL"/>
        </w:rPr>
        <w:t>Ribon and Sayag (2013)</w:t>
      </w:r>
      <w:r w:rsidR="007C2A1E" w:rsidRPr="005069B7">
        <w:rPr>
          <w:rFonts w:asciiTheme="majorHAnsi" w:hAnsiTheme="majorHAnsi" w:cs="David"/>
          <w:color w:val="0081AD"/>
          <w:lang w:bidi="he-IL"/>
        </w:rPr>
        <w:fldChar w:fldCharType="end"/>
      </w:r>
      <w:r w:rsidR="007C2A1E" w:rsidRPr="005069B7">
        <w:rPr>
          <w:rFonts w:asciiTheme="majorHAnsi" w:hAnsiTheme="majorHAnsi" w:cs="David"/>
          <w:color w:val="0081AD"/>
          <w:lang w:bidi="he-IL"/>
        </w:rPr>
        <w:t xml:space="preserve"> </w:t>
      </w:r>
      <w:r w:rsidR="00C57C00">
        <w:t>indicates</w:t>
      </w:r>
      <w:r w:rsidR="00C57C00" w:rsidRPr="0004228E">
        <w:t xml:space="preserve"> </w:t>
      </w:r>
      <w:r w:rsidRPr="0004228E">
        <w:t xml:space="preserve">that </w:t>
      </w:r>
      <w:r w:rsidRPr="002230DC">
        <w:t>rental</w:t>
      </w:r>
      <w:r w:rsidRPr="0004228E">
        <w:t xml:space="preserve"> prices exhibit greater nominal rigidity than consumer goods prices. This phenomenon is not exclusive to Israel</w:t>
      </w:r>
      <w:r w:rsidR="003B0495">
        <w:t>.</w:t>
      </w:r>
      <w:r w:rsidRPr="0004228E">
        <w:t xml:space="preserve"> </w:t>
      </w:r>
      <w:r w:rsidR="003B0495">
        <w:t>I</w:t>
      </w:r>
      <w:r w:rsidRPr="0004228E">
        <w:t xml:space="preserve">t is also observed globally </w:t>
      </w:r>
      <w:r w:rsidR="00C57C00">
        <w:t>(see</w:t>
      </w:r>
      <w:r w:rsidR="00697EAF">
        <w:t xml:space="preserve"> </w:t>
      </w:r>
      <w:r w:rsidR="00697EAF" w:rsidRPr="00681EE0">
        <w:rPr>
          <w:rFonts w:asciiTheme="majorHAnsi" w:hAnsiTheme="majorHAnsi" w:cs="David"/>
          <w:color w:val="0081AD"/>
          <w:lang w:bidi="he-IL"/>
        </w:rPr>
        <w:fldChar w:fldCharType="begin"/>
      </w:r>
      <w:r w:rsidR="00EC7FDA" w:rsidRPr="00681EE0">
        <w:rPr>
          <w:rFonts w:asciiTheme="majorHAnsi" w:hAnsiTheme="majorHAnsi" w:cs="David"/>
          <w:color w:val="0081AD"/>
          <w:lang w:bidi="he-IL"/>
        </w:rPr>
        <w:instrText xml:space="preserve"> ADDIN ZOTERO_ITEM CSL_CITATION {"citationID":"Bow3tUSF","properties":{"formattedCitation":"Sun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697EAF" w:rsidRPr="00681EE0">
        <w:rPr>
          <w:rFonts w:asciiTheme="majorHAnsi" w:hAnsiTheme="majorHAnsi" w:cs="David"/>
          <w:color w:val="0081AD"/>
          <w:lang w:bidi="he-IL"/>
        </w:rPr>
        <w:fldChar w:fldCharType="separate"/>
      </w:r>
      <w:r w:rsidR="00EC7FDA" w:rsidRPr="00681EE0">
        <w:rPr>
          <w:rFonts w:asciiTheme="majorHAnsi" w:hAnsiTheme="majorHAnsi" w:cs="David"/>
          <w:color w:val="0081AD"/>
          <w:lang w:bidi="he-IL"/>
        </w:rPr>
        <w:t>Sun and Tsang (2017)</w:t>
      </w:r>
      <w:r w:rsidR="00697EAF" w:rsidRPr="00681EE0">
        <w:rPr>
          <w:rFonts w:asciiTheme="majorHAnsi" w:hAnsiTheme="majorHAnsi" w:cs="David"/>
          <w:color w:val="0081AD"/>
          <w:lang w:bidi="he-IL"/>
        </w:rPr>
        <w:fldChar w:fldCharType="end"/>
      </w:r>
      <w:r w:rsidR="00C57C00">
        <w:t xml:space="preserve">, </w:t>
      </w:r>
      <w:r w:rsidR="000334D8" w:rsidRPr="009B31FB">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{"citationID":"nDopLyYD","properties":{"formattedCitation":"Genesove (2003)","plainCitation":"Genesove (2003)","noteIndex":0},"citationItems":[{"id":2744,"uris":["http://zotero.org/users/6680486/items/M5LKPUVZ"],"itemData":{"id":2744,"type":"article-journal","abstract":"This paper contributes to the empirical literature on price stickiness by documenting a high rate of nominal rigidity among housing rents in the United States between 1974 and 1981. Of the units studied, 29% had no change in nominal rents from year to year. The incidence was much higher (a) in years and cities with a low median nominal rent growth rate, and among (b) units whose tenants continued from the previous year and (c) units in small buildings. A little less than half of the nominal rigidity can be ascribed to grid pricing. Possible explanations, as well as the likely distributive and allocative implications, are discussed.","citation-key":"genesoveNominalRigidityApartment2003","container-title":"The Review of Economics and Statistics","DOI":"10.1162/003465303772815763","ISSN":"0034-6535","issue":"4","journalAbbreviation":"The Review of Economics and Statistics","page":"844-853","source":"Silverchair","title":"The Nominal Rigidity of Apartment Rents","volume":"85","author":[{"family":"Genesove","given":"David"}],"issued":{"date-parts":[["2003",11,1]]}}}],"schema":"https://github.com/citation-style-language/schema/raw/master/csl-citation.json"} </w:instrText>
      </w:r>
      <w:r w:rsidR="000334D8" w:rsidRPr="009B31FB">
        <w:rPr>
          <w:rFonts w:asciiTheme="majorHAnsi" w:hAnsiTheme="majorHAnsi" w:cs="David"/>
          <w:color w:val="0081AD"/>
          <w:lang w:bidi="he-IL"/>
        </w:rPr>
        <w:fldChar w:fldCharType="separate"/>
      </w:r>
      <w:r w:rsidR="00EC7FDA" w:rsidRPr="00681EE0">
        <w:rPr>
          <w:rFonts w:asciiTheme="majorHAnsi" w:hAnsiTheme="majorHAnsi" w:cs="David"/>
          <w:color w:val="0081AD"/>
          <w:lang w:bidi="he-IL"/>
        </w:rPr>
        <w:t>Genesove (2003)</w:t>
      </w:r>
      <w:r w:rsidR="000334D8" w:rsidRPr="009B31FB">
        <w:rPr>
          <w:rFonts w:asciiTheme="majorHAnsi" w:hAnsiTheme="majorHAnsi" w:cs="David"/>
          <w:color w:val="0081AD"/>
          <w:lang w:bidi="he-IL"/>
        </w:rPr>
        <w:fldChar w:fldCharType="end"/>
      </w:r>
      <w:r w:rsidR="00C57C00">
        <w:t>,</w:t>
      </w:r>
      <w:r w:rsidR="00C57C00" w:rsidRPr="00C57C00">
        <w:t xml:space="preserve"> </w:t>
      </w:r>
      <w:r w:rsidR="0001261F" w:rsidRPr="0001261F">
        <w:rPr>
          <w:color w:val="0081AD"/>
        </w:rPr>
        <w:fldChar w:fldCharType="begin"/>
      </w:r>
      <w:r w:rsidR="0001261F" w:rsidRPr="0001261F">
        <w:rPr>
          <w:color w:val="0081AD"/>
        </w:rPr>
        <w:instrText xml:space="preserve"> ADDIN ZOTERO_ITEM CSL_CITATION {"citationID":"r1RXWvsm","properties":{"unsorted":false,"formattedCitation":"Shimizu et al. (2010)","plainCitation":"Shimizu et al. (2010)","noteIndex":0},"citationItems":[{"id":1855,"uris":["http://zotero.org/users/6680486/items/98K56UW9"],"itemData":{"id":1855,"type":"article-journal","citation-key":"shimizuResidentialRentsPrice2010","container-title":"Journal of the Japanese and International Economies","DOI":"10.1016/j.jjie.2009.12.006","ISSN":"08891583","issue":"2","journalAbbreviation":"Journal of the Japanese and International Economies","language":"en","license":"https://www.elsevier.com/tdm/userlicense/1.0/","page":"282-299","source":"DOI.org (Crossref)","title":"Residential rents and price rigidity: Micro structure and macro consequences","title-short":"Residential rents and price rigidity","volume":"24","author":[{"family":"Shimizu","given":"Chihiro"},{"family":"Nishimura","given":"Kiyohiko G."},{"family":"Watanabe","given":"Tsutomu"}],"issued":{"date-parts":[["2010",6]]}}}],"schema":"https://github.com/citation-style-language/schema/raw/master/csl-citation.json"} </w:instrText>
      </w:r>
      <w:r w:rsidR="0001261F" w:rsidRPr="0001261F">
        <w:rPr>
          <w:color w:val="0081AD"/>
        </w:rPr>
        <w:fldChar w:fldCharType="separate"/>
      </w:r>
      <w:r w:rsidR="0001261F" w:rsidRPr="0001261F">
        <w:rPr>
          <w:rFonts w:ascii="Utopia" w:hAnsi="Utopia"/>
          <w:color w:val="0081AD"/>
        </w:rPr>
        <w:t>Shimizu et al. (2010)</w:t>
      </w:r>
      <w:r w:rsidR="0001261F" w:rsidRPr="0001261F">
        <w:rPr>
          <w:color w:val="0081AD"/>
        </w:rPr>
        <w:fldChar w:fldCharType="end"/>
      </w:r>
      <w:r w:rsidR="00C57C00" w:rsidRPr="00FC3DF1">
        <w:t>, and</w:t>
      </w:r>
      <w:r w:rsidR="0001261F">
        <w:t xml:space="preserve"> </w:t>
      </w:r>
      <w:r w:rsidR="0001261F" w:rsidRPr="003C4DA2">
        <w:rPr>
          <w:color w:val="0081AD"/>
        </w:rPr>
        <w:fldChar w:fldCharType="begin"/>
      </w:r>
      <w:r w:rsidR="003C4DA2" w:rsidRPr="003C4DA2">
        <w:rPr>
          <w:color w:val="0081AD"/>
        </w:rPr>
        <w:instrText xml:space="preserve"> ADDIN ZOTERO_ITEM CSL_CITATION {"citationID":"C7egjgXp","properties":{"unsorted":false,"formattedCitation":"Verbrugge et al. (2017)","plainCitation":"Verbrugge et al. (2017)","noteIndex":0},"citationItems":[{"id":1852,"uris":["http://zotero.org/users/6680486/items/HQV3CQKX"],"itemData":{"id":1852,"type":"article-journal","abstract":"This is a hedonic regression study of the 2001–2004 and 2004–2007 rent growth of 18,000 rental units. Which variables matter: Location? Age? Rent level? Occupancy duration? Structure type? The answers deepen understanding of the rental market and help guide statistical agency practice. We document significant rent stickiness. Initial relative rent level is the best predictor, mainly because of mean reversion. (This problem likely extends well beyond the present study.) “Location” comes in second, though often not statistically significant: the relative value of location is persistent. Age and occupancy duration are also notable. Our findings support statistical agency practices.","citation-key":"verbruggeDeterminantsDifferentialRent2017","container-title":"Real Estate Economics","DOI":"10.1111/1540-6229.12145","ISSN":"1540-6229","issue":"3","language":"en","note":"_eprint: https://onlinelibrary.wiley.com/doi/pdf/10.1111/1540-6229.12145","page":"591-627","source":"Wiley Online Library","title":"Determinants of Differential Rent Changes: Mean Reversion versus the Usual Suspects","title-short":"Determinants of Differential Rent Changes","volume":"45","author":[{"family":"Verbrugge","given":"Randal"},{"family":"Dorfman","given":"Alan"},{"family":"Johnson","given":"William"},{"family":"Marsh III","given":"Fred"},{"family":"Poole","given":"Robert"},{"family":"Shoemaker","given":"Owen"}],"issued":{"date-parts":[["2017"]]}}}],"schema":"https://github.com/citation-style-language/schema/raw/master/csl-citation.json"} </w:instrText>
      </w:r>
      <w:r w:rsidR="0001261F" w:rsidRPr="003C4DA2">
        <w:rPr>
          <w:color w:val="0081AD"/>
        </w:rPr>
        <w:fldChar w:fldCharType="separate"/>
      </w:r>
      <w:r w:rsidR="003C4DA2" w:rsidRPr="003C4DA2">
        <w:rPr>
          <w:rFonts w:ascii="Utopia" w:hAnsi="Utopia"/>
          <w:color w:val="0081AD"/>
        </w:rPr>
        <w:t>Verbrugge et al. (2017)</w:t>
      </w:r>
      <w:r w:rsidR="0001261F" w:rsidRPr="003C4DA2">
        <w:rPr>
          <w:color w:val="0081AD"/>
        </w:rPr>
        <w:fldChar w:fldCharType="end"/>
      </w:r>
      <w:r w:rsidR="00C57C00" w:rsidRPr="00FC3DF1">
        <w:t>).</w:t>
      </w:r>
      <w:r w:rsidR="00C57C00">
        <w:t xml:space="preserve"> </w:t>
      </w:r>
      <w:r w:rsidRPr="0004228E">
        <w:t xml:space="preserve">To </w:t>
      </w:r>
      <w:r w:rsidR="00250CDA">
        <w:t>that end</w:t>
      </w:r>
      <w:r w:rsidRPr="0004228E">
        <w:t>, we introduce a model of monopolistic competition in the rental market with price rigidity.</w:t>
      </w:r>
    </w:p>
    <w:p w14:paraId="7AE87790" w14:textId="77777777" w:rsidR="00D721DE" w:rsidRPr="000D583F" w:rsidRDefault="001A66DC" w:rsidP="003B0495">
      <w:pPr>
        <w:pStyle w:val="BodyText"/>
      </w:pPr>
      <w:r w:rsidRPr="000D583F">
        <w:t xml:space="preserve">Retailers </w:t>
      </w:r>
      <w:r w:rsidR="00AB4B79" w:rsidRPr="000D583F">
        <w:t xml:space="preserve">lease </w:t>
      </w:r>
      <w:r w:rsidR="003B0495">
        <w:t>dwellings</w:t>
      </w:r>
      <w:r w:rsidR="003B0495" w:rsidRPr="000D583F">
        <w:t xml:space="preserve"> </w:t>
      </w:r>
      <w:r w:rsidRPr="000D583F">
        <w:t xml:space="preserve">from investors </w:t>
      </w:r>
      <w:r w:rsidR="008C25E9" w:rsidRPr="000D583F">
        <w:t xml:space="preserve">for one period </w:t>
      </w:r>
      <w:r w:rsidRPr="000D583F">
        <w:t xml:space="preserve">at </w:t>
      </w:r>
      <w:r w:rsidR="003B0495">
        <w:t xml:space="preserve">a </w:t>
      </w:r>
      <w:r w:rsidR="0066552B">
        <w:t xml:space="preserve">nominal </w:t>
      </w:r>
      <w:r w:rsidRPr="000D583F">
        <w:t xml:space="preserve">price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oMath>
      <w:r w:rsidR="008C7F3A" w:rsidRPr="000D583F">
        <w:t xml:space="preserve">, </w:t>
      </w:r>
      <w:r w:rsidR="003B0495">
        <w:t>and the dwellings</w:t>
      </w:r>
      <w:r w:rsidR="008C7F3A" w:rsidRPr="000D583F">
        <w:t xml:space="preserve"> are</w:t>
      </w:r>
      <w:r w:rsidR="00F5483C" w:rsidRPr="000D583F">
        <w:t xml:space="preserve"> </w:t>
      </w:r>
      <w:r w:rsidR="003B0495">
        <w:t xml:space="preserve">then </w:t>
      </w:r>
      <w:r w:rsidR="00F5483C" w:rsidRPr="000D583F">
        <w:t xml:space="preserve">used as intermediate </w:t>
      </w:r>
      <w:r w:rsidR="007F12AB" w:rsidRPr="000D583F">
        <w:t xml:space="preserve">rental </w:t>
      </w:r>
      <w:r w:rsidR="003B0495">
        <w:t>propertie</w:t>
      </w:r>
      <w:r w:rsidR="007F12AB" w:rsidRPr="000D583F">
        <w:t>s</w:t>
      </w:r>
      <w:r w:rsidRPr="000D583F">
        <w:t xml:space="preserve">. </w:t>
      </w:r>
      <w:r w:rsidR="003B0495">
        <w:t>The f</w:t>
      </w:r>
      <w:r w:rsidRPr="000D583F">
        <w:t xml:space="preserve">inal product of </w:t>
      </w:r>
      <w:r w:rsidR="007F12AB" w:rsidRPr="000D583F">
        <w:t>rental dwellings</w:t>
      </w:r>
      <w:r w:rsidRPr="000D583F">
        <w:t xml:space="preserve"> in the economy</w:t>
      </w:r>
      <w:r w:rsidR="007F12AB" w:rsidRPr="000D583F">
        <w:t>,</w:t>
      </w:r>
      <w:r w:rsidRPr="000D583F">
        <w:t xml:space="preserve">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r>
          <w:rPr>
            <w:rFonts w:ascii="Cambria Math" w:eastAsiaTheme="minorEastAsia" w:hAnsi="Cambria Math"/>
          </w:rPr>
          <m:t>,</m:t>
        </m:r>
      </m:oMath>
      <w:r w:rsidRPr="000D583F">
        <w:t xml:space="preserve"> is a composite of a continuum of mass unity of differentiated </w:t>
      </w:r>
      <w:r w:rsidR="00A97299" w:rsidRPr="000D583F">
        <w:t xml:space="preserve">rental dwellings </w:t>
      </w:r>
      <w:r w:rsidRPr="000D583F">
        <w:t>that use</w:t>
      </w:r>
      <w:r w:rsidR="007A1C33">
        <w:t>s</w:t>
      </w:r>
      <w:r w:rsidRPr="000D583F">
        <w:t xml:space="preserve"> </w:t>
      </w:r>
      <w:r w:rsidR="00A97299" w:rsidRPr="000D583F">
        <w:t xml:space="preserve">intermediate rental dwellings </w:t>
      </w:r>
      <w:r w:rsidRPr="000D583F">
        <w:t xml:space="preserve">from investors as the sole input (that is, </w:t>
      </w:r>
      <m:oMath>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f</m:t>
            </m:r>
            <m:r>
              <m:rPr>
                <m:sty m:val="p"/>
              </m:rPr>
              <w:rPr>
                <w:rFonts w:ascii="Cambria Math" w:hAnsi="Cambria Math"/>
              </w:rPr>
              <m:t>,</m:t>
            </m:r>
            <m:r>
              <w:rPr>
                <w:rFonts w:ascii="Cambria Math" w:hAnsi="Cambria Math"/>
              </w:rPr>
              <m:t>t</m:t>
            </m:r>
          </m:sub>
        </m:sSub>
      </m:oMath>
      <w:r w:rsidRPr="000D583F">
        <w:t xml:space="preserve">, where </w:t>
      </w:r>
      <m:oMath>
        <m:sSub>
          <m:sSubPr>
            <m:ctrlPr>
              <w:rPr>
                <w:rFonts w:ascii="Cambria Math" w:hAnsi="Cambria Math"/>
              </w:rPr>
            </m:ctrlPr>
          </m:sSubPr>
          <m:e>
            <m:r>
              <w:rPr>
                <w:rFonts w:ascii="Cambria Math" w:hAnsi="Cambria Math"/>
              </w:rPr>
              <m:t>Y</m:t>
            </m:r>
          </m:e>
          <m:sub>
            <m:r>
              <w:rPr>
                <w:rFonts w:ascii="Cambria Math" w:hAnsi="Cambria Math"/>
              </w:rPr>
              <m:t>f</m:t>
            </m:r>
            <m:r>
              <m:rPr>
                <m:sty m:val="p"/>
              </m:rPr>
              <w:rPr>
                <w:rFonts w:ascii="Cambria Math" w:hAnsi="Cambria Math"/>
              </w:rPr>
              <m:t>,</m:t>
            </m:r>
            <m:r>
              <w:rPr>
                <w:rFonts w:ascii="Cambria Math" w:hAnsi="Cambria Math"/>
              </w:rPr>
              <m:t>t</m:t>
            </m:r>
          </m:sub>
        </m:sSub>
      </m:oMath>
      <w:r w:rsidRPr="000D583F">
        <w:t xml:space="preserve"> is </w:t>
      </w:r>
      <w:r w:rsidR="003C0EB0">
        <w:t>the</w:t>
      </w:r>
      <w:r w:rsidR="003C0EB0" w:rsidRPr="000D583F">
        <w:t xml:space="preserve"> </w:t>
      </w:r>
      <w:r w:rsidRPr="000D583F">
        <w:t xml:space="preserve">amount of </w:t>
      </w:r>
      <w:r w:rsidR="003B0495">
        <w:t>dwellings</w:t>
      </w:r>
      <w:r w:rsidRPr="000D583F">
        <w:t xml:space="preserve"> of retailer </w:t>
      </w:r>
      <m:oMath>
        <m:r>
          <w:rPr>
            <w:rFonts w:ascii="Cambria Math" w:hAnsi="Cambria Math"/>
          </w:rPr>
          <m:t>f</m:t>
        </m:r>
      </m:oMath>
      <w:r w:rsidR="003B0495">
        <w:rPr>
          <w:rFonts w:eastAsiaTheme="minorEastAsia"/>
        </w:rPr>
        <w:t>,</w:t>
      </w:r>
      <w:r w:rsidRPr="000D583F">
        <w:t xml:space="preserve"> and</w:t>
      </w:r>
      <m:oMath>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j</m:t>
            </m:r>
          </m:e>
        </m:d>
      </m:oMath>
      <w:r w:rsidR="00A97299" w:rsidRPr="000D583F">
        <w:t xml:space="preserve"> is </w:t>
      </w:r>
      <w:r w:rsidR="008731EA">
        <w:t>the</w:t>
      </w:r>
      <w:r w:rsidR="008731EA" w:rsidRPr="000D583F">
        <w:t xml:space="preserve"> </w:t>
      </w:r>
      <w:r w:rsidR="00A97299" w:rsidRPr="000D583F">
        <w:t>intermediate rental dwellings</w:t>
      </w:r>
      <w:r w:rsidRPr="000D583F">
        <w:t xml:space="preserve"> of investor </w:t>
      </w:r>
      <m:oMath>
        <m:r>
          <w:rPr>
            <w:rFonts w:ascii="Cambria Math" w:hAnsi="Cambria Math"/>
          </w:rPr>
          <m:t>j</m:t>
        </m:r>
      </m:oMath>
      <w:r w:rsidRPr="000D583F">
        <w:t xml:space="preserve">). The final product of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oMath>
      <w:r w:rsidRPr="000D583F">
        <w:t xml:space="preserve"> </w:t>
      </w:r>
      <w:r w:rsidR="00A97299" w:rsidRPr="000D583F">
        <w:t>for rental dwellings</w:t>
      </w:r>
      <w:r w:rsidRPr="000D583F">
        <w:t xml:space="preserve"> is:</w:t>
      </w:r>
    </w:p>
    <w:p w14:paraId="433FDA28" w14:textId="1EBE51F4" w:rsidR="00D721DE" w:rsidRPr="000D583F" w:rsidRDefault="00000000" w:rsidP="00E00C52">
      <w:pPr>
        <w:pStyle w:val="BodyText"/>
        <w:rPr>
          <w:rFonts w:asciiTheme="majorHAnsi" w:hAnsiTheme="majorHAnsi"/>
        </w:rPr>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nary>
                    <m:naryPr>
                      <m:limLoc m:val="subSup"/>
                      <m:ctrlPr>
                        <w:rPr>
                          <w:rFonts w:ascii="Cambria Math" w:hAnsi="Cambria Math"/>
                        </w:rPr>
                      </m:ctrlPr>
                    </m:naryPr>
                    <m:sub>
                      <m:r>
                        <w:rPr>
                          <w:rFonts w:ascii="Cambria Math" w:hAnsi="Cambria Math"/>
                        </w:rPr>
                        <m:t>0</m:t>
                      </m:r>
                    </m:sub>
                    <m:sup>
                      <m:r>
                        <w:rPr>
                          <w:rFonts w:ascii="Cambria Math" w:hAnsi="Cambria Math"/>
                        </w:rPr>
                        <m:t>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f</m:t>
                                  </m:r>
                                  <m:r>
                                    <m:rPr>
                                      <m:sty m:val="p"/>
                                    </m:rPr>
                                    <w:rPr>
                                      <w:rFonts w:ascii="Cambria Math" w:hAnsi="Cambria Math"/>
                                    </w:rPr>
                                    <m:t>,</m:t>
                                  </m:r>
                                  <m:r>
                                    <w:rPr>
                                      <w:rFonts w:ascii="Cambria Math" w:hAnsi="Cambria Math"/>
                                    </w:rPr>
                                    <m:t>t</m:t>
                                  </m:r>
                                </m:sub>
                              </m:sSub>
                            </m:e>
                          </m:d>
                        </m:e>
                        <m:sup>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r</m:t>
                                  </m:r>
                                </m:sub>
                              </m:sSub>
                            </m:den>
                          </m:f>
                        </m:sup>
                      </m:sSup>
                    </m:e>
                  </m:nary>
                  <m:r>
                    <w:rPr>
                      <w:rFonts w:ascii="Cambria Math" w:hAnsi="Cambria Math"/>
                    </w:rPr>
                    <m:t>df</m:t>
                  </m:r>
                </m:e>
              </m:d>
            </m:e>
            <m:sup>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num>
                <m:den>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r>
                    <w:rPr>
                      <w:rFonts w:ascii="Cambria Math" w:hAnsi="Cambria Math"/>
                    </w:rPr>
                    <m:t>1</m:t>
                  </m:r>
                </m:den>
              </m:f>
            </m:sup>
          </m:sSup>
        </m:oMath>
      </m:oMathPara>
    </w:p>
    <w:p w14:paraId="03A0FA57" w14:textId="77777777" w:rsidR="001B7894" w:rsidRDefault="001A66DC" w:rsidP="007E17BB">
      <w:pPr>
        <w:pStyle w:val="BodyText"/>
      </w:pPr>
      <w:r w:rsidRPr="000D583F">
        <w:t xml:space="preserve">where </w:t>
      </w:r>
      <m:oMath>
        <m:sSub>
          <m:sSubPr>
            <m:ctrlPr>
              <w:rPr>
                <w:rFonts w:ascii="Cambria Math" w:hAnsi="Cambria Math"/>
              </w:rPr>
            </m:ctrlPr>
          </m:sSubPr>
          <m:e>
            <m:r>
              <w:rPr>
                <w:rFonts w:ascii="Cambria Math" w:hAnsi="Cambria Math"/>
              </w:rPr>
              <m:t>η</m:t>
            </m:r>
          </m:e>
          <m:sub>
            <m:r>
              <w:rPr>
                <w:rFonts w:ascii="Cambria Math" w:hAnsi="Cambria Math"/>
              </w:rPr>
              <m:t>r</m:t>
            </m:r>
          </m:sub>
        </m:sSub>
      </m:oMath>
      <w:r w:rsidRPr="000D583F">
        <w:t xml:space="preserve"> is the elasticity of substitution between differentiated </w:t>
      </w:r>
      <w:r w:rsidR="002771B1" w:rsidRPr="000D583F">
        <w:t>rental dwellings</w:t>
      </w:r>
      <w:r w:rsidRPr="000D583F">
        <w:t xml:space="preserve">. </w:t>
      </w:r>
    </w:p>
    <w:p w14:paraId="51B08BDC" w14:textId="77777777" w:rsidR="00D721DE" w:rsidRPr="000D583F" w:rsidRDefault="001A66DC" w:rsidP="001310D8">
      <w:pPr>
        <w:pStyle w:val="BodyText"/>
        <w:spacing w:before="140" w:after="140"/>
      </w:pPr>
      <w:r w:rsidRPr="000D583F">
        <w:lastRenderedPageBreak/>
        <w:t xml:space="preserve">Demand for differentiated retail </w:t>
      </w:r>
      <w:r w:rsidR="003B0495">
        <w:t>dwelling</w:t>
      </w:r>
      <w:r w:rsidR="003B0495" w:rsidRPr="000D583F">
        <w:t xml:space="preserve"> </w:t>
      </w:r>
      <m:oMath>
        <m:r>
          <w:rPr>
            <w:rFonts w:ascii="Cambria Math" w:hAnsi="Cambria Math"/>
          </w:rPr>
          <m:t>f</m:t>
        </m:r>
      </m:oMath>
      <w:r w:rsidR="00CF0230" w:rsidRPr="000D583F">
        <w:t xml:space="preserve"> is given</w:t>
      </w:r>
      <w:r w:rsidRPr="000D583F">
        <w:t>:</w:t>
      </w:r>
    </w:p>
    <w:p w14:paraId="7CF24FDC" w14:textId="2725E2EE" w:rsidR="00D721DE" w:rsidRPr="000D583F" w:rsidRDefault="00000000" w:rsidP="001310D8">
      <w:pPr>
        <w:pStyle w:val="BodyText"/>
        <w:spacing w:before="140" w:after="140"/>
        <w:rPr>
          <w:rFonts w:asciiTheme="majorHAnsi" w:hAnsiTheme="majorHAnsi"/>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m:t>
              </m:r>
              <m:r>
                <m:rPr>
                  <m:sty m:val="p"/>
                </m:rPr>
                <w:rPr>
                  <w:rFonts w:ascii="Cambria Math" w:hAnsi="Cambria Math"/>
                </w:rPr>
                <m:t>,</m:t>
              </m:r>
              <m:r>
                <w:rPr>
                  <w:rFonts w:ascii="Cambria Math" w:hAnsi="Cambria Math"/>
                </w:rPr>
                <m:t>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rent</m:t>
                          </m:r>
                        </m:sup>
                      </m:sSubSup>
                    </m:num>
                    <m:den>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rent</m:t>
                          </m:r>
                        </m:sup>
                      </m:sSubSup>
                    </m:den>
                  </m:f>
                </m:e>
              </m:d>
            </m:e>
            <m: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m:t>
                  </m:r>
                </m:sub>
              </m:sSub>
            </m:sup>
          </m:sSup>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oMath>
      </m:oMathPara>
    </w:p>
    <w:p w14:paraId="76EE9C10" w14:textId="77777777" w:rsidR="00D721DE" w:rsidRPr="000D583F" w:rsidRDefault="001A66DC" w:rsidP="001310D8">
      <w:pPr>
        <w:pStyle w:val="BodyText"/>
        <w:spacing w:before="140" w:after="140"/>
      </w:pPr>
      <w:r w:rsidRPr="000D583F">
        <w:t>where the</w:t>
      </w:r>
      <w:r w:rsidRPr="000D583F">
        <w:rPr>
          <w:rFonts w:ascii="Cambria" w:hAnsi="Cambria" w:cs="Cambria"/>
        </w:rPr>
        <w:t> </w:t>
      </w:r>
      <w:r w:rsidRPr="000D583F">
        <w:t xml:space="preserve">(nominal) price of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oMath>
      <w:r w:rsidRPr="000D583F">
        <w:t xml:space="preserve"> is given </w:t>
      </w:r>
      <w:r w:rsidR="003B0495">
        <w:t>as</w:t>
      </w:r>
      <w:r w:rsidRPr="000D583F">
        <w:t>:</w:t>
      </w:r>
    </w:p>
    <w:p w14:paraId="3AE5F671" w14:textId="737F9E13" w:rsidR="00D721DE" w:rsidRPr="000D583F" w:rsidRDefault="00000000" w:rsidP="00A07C0F">
      <w:pPr>
        <w:pStyle w:val="BodyText"/>
        <w:spacing w:before="140" w:after="140"/>
        <w:rPr>
          <w:rFonts w:asciiTheme="majorHAnsi" w:hAnsiTheme="majorHAnsi"/>
        </w:rP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rent</m:t>
                                  </m:r>
                                </m:sup>
                              </m:sSubSup>
                            </m:e>
                          </m:d>
                        </m:e>
                        <m:sup>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r</m:t>
                              </m:r>
                            </m:sub>
                          </m:sSub>
                        </m:sup>
                      </m:sSup>
                    </m:e>
                  </m:nary>
                  <m:r>
                    <w:rPr>
                      <w:rFonts w:ascii="Cambria Math" w:hAnsi="Cambria Math"/>
                    </w:rPr>
                    <m:t>df</m:t>
                  </m:r>
                </m:e>
              </m:d>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b>
                    <m:sSubPr>
                      <m:ctrlPr>
                        <w:rPr>
                          <w:rFonts w:ascii="Cambria Math" w:hAnsi="Cambria Math"/>
                        </w:rPr>
                      </m:ctrlPr>
                    </m:sSubPr>
                    <m:e>
                      <m:r>
                        <w:rPr>
                          <w:rFonts w:ascii="Cambria Math" w:hAnsi="Cambria Math"/>
                        </w:rPr>
                        <m:t>η</m:t>
                      </m:r>
                    </m:e>
                    <m:sub>
                      <m:r>
                        <w:rPr>
                          <w:rFonts w:ascii="Cambria Math" w:hAnsi="Cambria Math"/>
                        </w:rPr>
                        <m:t>r</m:t>
                      </m:r>
                    </m:sub>
                  </m:sSub>
                </m:den>
              </m:f>
            </m:sup>
          </m:sSup>
        </m:oMath>
      </m:oMathPara>
    </w:p>
    <w:p w14:paraId="232C24CB" w14:textId="4E0EC464" w:rsidR="0008572C" w:rsidRDefault="001A66DC" w:rsidP="00164CE0">
      <w:pPr>
        <w:pStyle w:val="BodyText"/>
        <w:spacing w:before="140" w:after="140"/>
      </w:pPr>
      <w:r w:rsidRPr="000D583F">
        <w:t>D</w:t>
      </w:r>
      <w:r w:rsidR="00D721DE" w:rsidRPr="000D583F">
        <w:t>ifferentiated retail firms</w:t>
      </w:r>
      <w:r w:rsidR="00B54E64" w:rsidRPr="000D583F">
        <w:t xml:space="preserve"> </w:t>
      </w:r>
      <w:r w:rsidRPr="000D583F">
        <w:t xml:space="preserve">face </w:t>
      </w:r>
      <w:r w:rsidR="00D721DE" w:rsidRPr="000D583F">
        <w:t xml:space="preserve">price rigidity </w:t>
      </w:r>
      <w:r w:rsidR="002C2AA9" w:rsidRPr="000D583F">
        <w:t>à la</w:t>
      </w:r>
      <w:r w:rsidR="004E3262">
        <w:t xml:space="preserve"> </w:t>
      </w:r>
      <w:r w:rsidR="004E3262" w:rsidRPr="00164CE0">
        <w:rPr>
          <w:color w:val="0081AD"/>
        </w:rPr>
        <w:fldChar w:fldCharType="begin"/>
      </w:r>
      <w:r w:rsidR="00164CE0" w:rsidRPr="00164CE0">
        <w:rPr>
          <w:color w:val="0081AD"/>
        </w:rPr>
        <w:instrText xml:space="preserve"> ADDIN ZOTERO_ITEM CSL_CITATION {"citationID":"jO1bQPr1","properties":{"unsorted":false,"formattedCitation":"Rotemberg (1982)","plainCitation":"Rotemberg (1982)","noteIndex":0},"citationItems":[{"id":19094,"uris":["http://zotero.org/users/6680486/items/NKM7CWGV"],"itemData":{"id":19094,"type":"article-journal","abstract":"This paper studies the consequences for the behaviour of aggregate output of the perception on the part of firms that changing prices is costly. The rational expectations equilibrium of an economy with many such firms is constructed. It is shown that in this economy nominal shocks have a persistent effect on aggregate output. Furthermore, the real wage is demonstrated to move procyclically in such an economy.","citation-key":"rotembergMonopolisticPriceAdjustment1982b","container-title":"The Review of Economic Studies","DOI":"10.2307/2297284","ISSN":"0034-6527","issue":"4","journalAbbreviation":"Rev Econ Stud","page":"517-531","source":"Silverchair","title":"Monopolistic Price Adjustment and Aggregate Output","volume":"49","author":[{"family":"Rotemberg","given":"Julio J."}],"issued":{"date-parts":[["1982",10,1]]}}}],"schema":"https://github.com/citation-style-language/schema/raw/master/csl-citation.json"} </w:instrText>
      </w:r>
      <w:r w:rsidR="004E3262" w:rsidRPr="00164CE0">
        <w:rPr>
          <w:color w:val="0081AD"/>
        </w:rPr>
        <w:fldChar w:fldCharType="separate"/>
      </w:r>
      <w:r w:rsidR="00164CE0" w:rsidRPr="00164CE0">
        <w:rPr>
          <w:rFonts w:ascii="Utopia" w:hAnsi="Utopia"/>
          <w:color w:val="0081AD"/>
        </w:rPr>
        <w:t>Rotemberg (1982)</w:t>
      </w:r>
      <w:r w:rsidR="004E3262" w:rsidRPr="00164CE0">
        <w:rPr>
          <w:color w:val="0081AD"/>
        </w:rPr>
        <w:fldChar w:fldCharType="end"/>
      </w:r>
      <w:r w:rsidR="00F66285" w:rsidRPr="000D583F">
        <w:t>,</w:t>
      </w:r>
      <w:r w:rsidR="007D6972" w:rsidRPr="000D583F">
        <w:t xml:space="preserve"> </w:t>
      </w:r>
      <w:r w:rsidRPr="000D583F">
        <w:t xml:space="preserve">leading to a </w:t>
      </w:r>
      <w:r w:rsidR="007D6972" w:rsidRPr="000D583F">
        <w:t>Philips curve of rent prices.</w:t>
      </w:r>
    </w:p>
    <w:p w14:paraId="6F8C4E1E" w14:textId="77777777" w:rsidR="00E25AD2" w:rsidRPr="000D583F" w:rsidRDefault="001A66DC" w:rsidP="00F338AA">
      <w:pPr>
        <w:pStyle w:val="BodyText"/>
        <w:spacing w:before="140" w:after="140"/>
      </w:pPr>
      <w:r w:rsidRPr="00E25AD2">
        <w:t>We start with the expected profit function of</w:t>
      </w:r>
      <w:r>
        <w:t xml:space="preserve"> each retailer, to be maximized:</w:t>
      </w:r>
    </w:p>
    <w:p w14:paraId="749DD4F3" w14:textId="248EC3BE" w:rsidR="00525685" w:rsidRPr="000D583F" w:rsidRDefault="00000000" w:rsidP="00E43620">
      <w:pPr>
        <w:pStyle w:val="BodyText"/>
        <w:rPr>
          <w:rFonts w:asciiTheme="majorHAnsi" w:hAnsiTheme="majorHAnsi"/>
        </w:rPr>
      </w:pPr>
      <m:oMathPara>
        <m:oMathParaPr>
          <m:jc m:val="center"/>
        </m:oMathParaPr>
        <m:oMath>
          <m:func>
            <m:funcPr>
              <m:ctrlPr>
                <w:rPr>
                  <w:rFonts w:ascii="Cambria Math" w:hAnsi="Cambria Math"/>
                  <w:sz w:val="20"/>
                  <w:szCs w:val="20"/>
                </w:rPr>
              </m:ctrlPr>
            </m:funcPr>
            <m:fName>
              <m:r>
                <m:rPr>
                  <m:sty m:val="p"/>
                </m:rPr>
                <w:rPr>
                  <w:rFonts w:ascii="Cambria Math" w:hAnsi="Cambria Math"/>
                  <w:sz w:val="20"/>
                  <w:szCs w:val="20"/>
                </w:rPr>
                <m:t>max</m:t>
              </m:r>
            </m:fName>
            <m:e>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t</m:t>
                  </m:r>
                </m:sub>
              </m:sSub>
              <m:nary>
                <m:naryPr>
                  <m:chr m:val="∑"/>
                  <m:limLoc m:val="undOvr"/>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=0</m:t>
                  </m:r>
                </m:sub>
                <m:sup>
                  <m:r>
                    <m:rPr>
                      <m:sty m:val="p"/>
                    </m:rP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sdf</m:t>
                      </m:r>
                    </m:e>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Sub>
                  <m:d>
                    <m:dPr>
                      <m:begChr m:val="["/>
                      <m:endChr m:val="]"/>
                      <m:ctrlPr>
                        <w:rPr>
                          <w:rFonts w:ascii="Cambria Math" w:hAnsi="Cambria Math"/>
                          <w:sz w:val="20"/>
                          <w:szCs w:val="20"/>
                        </w:rPr>
                      </m:ctrlPr>
                    </m:dPr>
                    <m:e>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up>
                              <m:r>
                                <w:rPr>
                                  <w:rFonts w:ascii="Cambria Math" w:hAnsi="Cambria Math"/>
                                  <w:sz w:val="20"/>
                                  <w:szCs w:val="20"/>
                                </w:rPr>
                                <m:t>rent</m:t>
                              </m:r>
                            </m:sup>
                          </m:sSubSup>
                        </m:num>
                        <m:den>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t+i</m:t>
                              </m:r>
                            </m:sub>
                            <m:sup>
                              <m:r>
                                <w:rPr>
                                  <w:rFonts w:ascii="Cambria Math" w:hAnsi="Cambria Math"/>
                                  <w:sz w:val="20"/>
                                  <w:szCs w:val="20"/>
                                </w:rPr>
                                <m:t>rent</m:t>
                              </m:r>
                            </m:sup>
                          </m:sSubSup>
                        </m:den>
                      </m:f>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up>
                              <m:r>
                                <w:rPr>
                                  <w:rFonts w:ascii="Cambria Math" w:hAnsi="Cambria Math"/>
                                  <w:sz w:val="20"/>
                                  <w:szCs w:val="20"/>
                                </w:rPr>
                                <m:t>m</m:t>
                              </m:r>
                            </m:sup>
                          </m:sSubSup>
                        </m:num>
                        <m:den>
                          <m:sSubSup>
                            <m:sSubSupPr>
                              <m:ctrlPr>
                                <w:rPr>
                                  <w:rFonts w:ascii="Cambria Math" w:hAnsi="Cambria Math"/>
                                  <w:i/>
                                  <w:sz w:val="20"/>
                                  <w:szCs w:val="20"/>
                                </w:rPr>
                              </m:ctrlPr>
                            </m:sSubSupPr>
                            <m:e>
                              <m:r>
                                <w:rPr>
                                  <w:rFonts w:ascii="Cambria Math" w:hAnsi="Cambria Math"/>
                                  <w:sz w:val="20"/>
                                  <w:szCs w:val="20"/>
                                </w:rPr>
                                <m:t>P</m:t>
                              </m:r>
                            </m:e>
                            <m:sub>
                              <m:r>
                                <w:rPr>
                                  <w:rFonts w:ascii="Cambria Math" w:hAnsi="Cambria Math"/>
                                  <w:sz w:val="20"/>
                                  <w:szCs w:val="20"/>
                                </w:rPr>
                                <m:t>t+i</m:t>
                              </m:r>
                            </m:sub>
                            <m:sup>
                              <m:r>
                                <w:rPr>
                                  <w:rFonts w:ascii="Cambria Math" w:hAnsi="Cambria Math"/>
                                  <w:sz w:val="20"/>
                                  <w:szCs w:val="20"/>
                                </w:rPr>
                                <m:t>rent</m:t>
                              </m:r>
                            </m:sup>
                          </m:sSubSup>
                        </m:den>
                      </m:f>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Θ</m:t>
                          </m:r>
                        </m:num>
                        <m:den>
                          <m:r>
                            <m:rPr>
                              <m:sty m:val="p"/>
                            </m:rPr>
                            <w:rPr>
                              <w:rFonts w:ascii="Cambria Math" w:hAnsi="Cambria Math"/>
                              <w:sz w:val="20"/>
                              <w:szCs w:val="20"/>
                            </w:rPr>
                            <m:t>2</m:t>
                          </m:r>
                        </m:den>
                      </m:f>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up>
                                      <m:r>
                                        <w:rPr>
                                          <w:rFonts w:ascii="Cambria Math" w:hAnsi="Cambria Math"/>
                                          <w:sz w:val="20"/>
                                          <w:szCs w:val="20"/>
                                        </w:rPr>
                                        <m:t>rent</m:t>
                                      </m:r>
                                    </m:sup>
                                  </m:sSubSup>
                                </m:num>
                                <m:den>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f</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rent</m:t>
                                      </m:r>
                                    </m:sup>
                                  </m:sSubSup>
                                </m:den>
                              </m:f>
                              <m:r>
                                <m:rPr>
                                  <m:sty m:val="p"/>
                                </m:rPr>
                                <w:rPr>
                                  <w:rFonts w:ascii="Cambria Math" w:hAnsi="Cambria Math"/>
                                  <w:sz w:val="20"/>
                                  <w:szCs w:val="20"/>
                                </w:rPr>
                                <m:t>-</m:t>
                              </m:r>
                              <m:sSup>
                                <m:sSupPr>
                                  <m:ctrlPr>
                                    <w:rPr>
                                      <w:rFonts w:ascii="Cambria Math" w:hAnsi="Cambria Math"/>
                                      <w:sz w:val="20"/>
                                      <w:szCs w:val="20"/>
                                    </w:rPr>
                                  </m:ctrlPr>
                                </m:sSupPr>
                                <m:e>
                                  <m:sSup>
                                    <m:sSupPr>
                                      <m:ctrlPr>
                                        <w:rPr>
                                          <w:rFonts w:ascii="Cambria Math" w:hAnsi="Cambria Math"/>
                                          <w:i/>
                                          <w:sz w:val="20"/>
                                          <w:szCs w:val="20"/>
                                        </w:rPr>
                                      </m:ctrlPr>
                                    </m:sSupPr>
                                    <m:e>
                                      <m:r>
                                        <w:rPr>
                                          <w:rFonts w:ascii="Cambria Math" w:hAnsi="Cambria Math"/>
                                          <w:sz w:val="20"/>
                                          <w:szCs w:val="20"/>
                                        </w:rPr>
                                        <m:t>(π</m:t>
                                      </m:r>
                                    </m:e>
                                    <m:sup>
                                      <m:r>
                                        <w:rPr>
                                          <w:rFonts w:ascii="Cambria Math" w:hAnsi="Cambria Math"/>
                                          <w:sz w:val="20"/>
                                          <w:szCs w:val="20"/>
                                        </w:rPr>
                                        <m:t>rent</m:t>
                                      </m:r>
                                    </m:sup>
                                  </m:sSup>
                                  <m:r>
                                    <w:rPr>
                                      <w:rFonts w:ascii="Cambria Math" w:hAnsi="Cambria Math"/>
                                      <w:sz w:val="20"/>
                                      <w:szCs w:val="20"/>
                                    </w:rPr>
                                    <m:t>)</m:t>
                                  </m:r>
                                </m:e>
                                <m:sup>
                                  <m:r>
                                    <m:rPr>
                                      <m:sty m:val="p"/>
                                    </m:rPr>
                                    <w:rPr>
                                      <w:rFonts w:ascii="Cambria Math" w:hAnsi="Cambria Math"/>
                                      <w:sz w:val="20"/>
                                      <w:szCs w:val="20"/>
                                    </w:rPr>
                                    <m:t>1-</m:t>
                                  </m:r>
                                  <m:r>
                                    <w:rPr>
                                      <w:rFonts w:ascii="Cambria Math" w:hAnsi="Cambria Math"/>
                                      <w:sz w:val="20"/>
                                      <w:szCs w:val="20"/>
                                    </w:rPr>
                                    <m:t>ϕ</m:t>
                                  </m:r>
                                </m:sup>
                              </m:s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-1</m:t>
                                              </m:r>
                                            </m:sub>
                                            <m:sup>
                                              <m:r>
                                                <w:rPr>
                                                  <w:rFonts w:ascii="Cambria Math" w:hAnsi="Cambria Math"/>
                                                  <w:sz w:val="20"/>
                                                  <w:szCs w:val="20"/>
                                                </w:rPr>
                                                <m:t>rent</m:t>
                                              </m:r>
                                            </m:sup>
                                          </m:sSubSup>
                                        </m:num>
                                        <m:den>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r>
                                                <m:rPr>
                                                  <m:sty m:val="p"/>
                                                </m:rPr>
                                                <w:rPr>
                                                  <w:rFonts w:ascii="Cambria Math" w:hAnsi="Cambria Math"/>
                                                  <w:sz w:val="20"/>
                                                  <w:szCs w:val="20"/>
                                                </w:rPr>
                                                <m:t>-2</m:t>
                                              </m:r>
                                            </m:sub>
                                            <m:sup>
                                              <m:r>
                                                <w:rPr>
                                                  <w:rFonts w:ascii="Cambria Math" w:hAnsi="Cambria Math"/>
                                                  <w:sz w:val="20"/>
                                                  <w:szCs w:val="20"/>
                                                </w:rPr>
                                                <m:t>rent</m:t>
                                              </m:r>
                                            </m:sup>
                                          </m:sSubSup>
                                        </m:den>
                                      </m:f>
                                    </m:e>
                                  </m:d>
                                </m:e>
                                <m:sup>
                                  <m:r>
                                    <w:rPr>
                                      <w:rFonts w:ascii="Cambria Math" w:hAnsi="Cambria Math"/>
                                      <w:sz w:val="20"/>
                                      <w:szCs w:val="20"/>
                                    </w:rPr>
                                    <m:t>ϕ</m:t>
                                  </m:r>
                                </m:sup>
                              </m:sSup>
                            </m:e>
                          </m:d>
                        </m:e>
                        <m:sup>
                          <m:r>
                            <m:rPr>
                              <m:sty m:val="p"/>
                            </m:rPr>
                            <w:rPr>
                              <w:rFonts w:ascii="Cambria Math" w:hAnsi="Cambria Math"/>
                              <w:sz w:val="20"/>
                              <w:szCs w:val="20"/>
                            </w:rPr>
                            <m:t>2</m:t>
                          </m:r>
                        </m:sup>
                      </m:sSup>
                      <m:r>
                        <m:rPr>
                          <m:sty m:val="p"/>
                        </m:rPr>
                        <w:rPr>
                          <w:rFonts w:ascii="Cambria Math" w:hAnsi="Cambria Math"/>
                          <w:sz w:val="20"/>
                          <w:szCs w:val="20"/>
                        </w:rPr>
                        <m:t xml:space="preserve"> </m:t>
                      </m:r>
                      <m:sSubSup>
                        <m:sSubSupPr>
                          <m:ctrlPr>
                            <w:rPr>
                              <w:rFonts w:ascii="Cambria Math" w:hAnsi="Cambria Math"/>
                              <w:sz w:val="20"/>
                              <w:szCs w:val="20"/>
                            </w:rPr>
                          </m:ctrlPr>
                        </m:sSubSupPr>
                        <m:e>
                          <m:r>
                            <w:rPr>
                              <w:rFonts w:ascii="Cambria Math" w:hAnsi="Cambria Math"/>
                              <w:sz w:val="20"/>
                              <w:szCs w:val="20"/>
                            </w:rPr>
                            <m:t>Y</m:t>
                          </m:r>
                        </m:e>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i</m:t>
                          </m:r>
                        </m:sub>
                        <m:sup>
                          <m:r>
                            <w:rPr>
                              <w:rFonts w:ascii="Cambria Math" w:hAnsi="Cambria Math"/>
                              <w:sz w:val="20"/>
                              <w:szCs w:val="20"/>
                            </w:rPr>
                            <m:t>rent</m:t>
                          </m:r>
                        </m:sup>
                      </m:sSubSup>
                    </m:e>
                  </m:d>
                </m:e>
              </m:nary>
            </m:e>
          </m:func>
        </m:oMath>
      </m:oMathPara>
    </w:p>
    <w:p w14:paraId="65FF5873" w14:textId="3F261F19" w:rsidR="00525685" w:rsidRPr="000D583F" w:rsidRDefault="001A66DC" w:rsidP="00974A91">
      <w:pPr>
        <w:pStyle w:val="BodyText"/>
        <w:spacing w:before="160" w:after="160"/>
      </w:pPr>
      <w:r w:rsidRPr="000D583F">
        <w:t xml:space="preserve">where </w:t>
      </w:r>
      <m:oMath>
        <m:sSup>
          <m:sSupPr>
            <m:ctrlPr>
              <w:rPr>
                <w:rFonts w:ascii="Cambria Math" w:hAnsi="Cambria Math"/>
                <w:i/>
              </w:rPr>
            </m:ctrlPr>
          </m:sSupPr>
          <m:e>
            <m:r>
              <w:rPr>
                <w:rFonts w:ascii="Cambria Math" w:hAnsi="Cambria Math"/>
              </w:rPr>
              <m:t>π</m:t>
            </m:r>
          </m:e>
          <m:sup>
            <m:r>
              <w:rPr>
                <w:rFonts w:ascii="Cambria Math" w:hAnsi="Cambria Math"/>
              </w:rPr>
              <m:t>rent</m:t>
            </m:r>
          </m:sup>
        </m:sSup>
      </m:oMath>
      <w:r w:rsidRPr="000D583F">
        <w:t xml:space="preserve"> is </w:t>
      </w:r>
      <w:r w:rsidR="002E7144">
        <w:t>the</w:t>
      </w:r>
      <w:r w:rsidR="002E7144" w:rsidRPr="000D583F">
        <w:t xml:space="preserve"> </w:t>
      </w:r>
      <w:r w:rsidR="00D53ED4" w:rsidRPr="000D583F">
        <w:t>steady state</w:t>
      </w:r>
      <w:r w:rsidRPr="000D583F">
        <w:t xml:space="preserve"> inflation rate </w:t>
      </w:r>
      <w:r w:rsidR="003F41A5">
        <w:t>of rental services</w:t>
      </w:r>
      <w:r w:rsidRPr="000D583F">
        <w:t xml:space="preserve">, </w:t>
      </w:r>
      <m:oMath>
        <m:r>
          <w:rPr>
            <w:rFonts w:ascii="Cambria Math" w:hAnsi="Cambria Math"/>
          </w:rPr>
          <m:t>ϕ</m:t>
        </m:r>
      </m:oMath>
      <w:r w:rsidRPr="000D583F">
        <w:t xml:space="preserve"> is </w:t>
      </w:r>
      <w:r w:rsidR="00F41A2C">
        <w:t>the</w:t>
      </w:r>
      <w:r w:rsidR="00F41A2C" w:rsidRPr="000D583F">
        <w:t xml:space="preserve"> </w:t>
      </w:r>
      <w:r w:rsidRPr="000D583F">
        <w:t>degree of indexation to past inflation of rental services</w:t>
      </w:r>
      <w:r w:rsidRPr="003C31AE">
        <w:rPr>
          <w:rStyle w:val="FootnoteReference"/>
        </w:rPr>
        <w:footnoteReference w:id="6"/>
      </w:r>
      <w:r w:rsidRPr="000D583F">
        <w:t xml:space="preserve"> and </w:t>
      </w:r>
      <m:oMath>
        <m:r>
          <w:rPr>
            <w:rFonts w:ascii="Cambria Math" w:hAnsi="Cambria Math"/>
          </w:rPr>
          <m:t>Θ</m:t>
        </m:r>
      </m:oMath>
      <w:r w:rsidRPr="000D583F">
        <w:t xml:space="preserve"> defines the cost </w:t>
      </w:r>
      <w:r w:rsidR="00974A91">
        <w:t>associated with changing price.</w:t>
      </w:r>
      <w:r w:rsidR="00CF0C5B" w:rsidRPr="000D583F">
        <w:t xml:space="preserve"> </w:t>
      </w:r>
      <w:r w:rsidR="00D53ED4">
        <w:t>T</w:t>
      </w:r>
      <w:r w:rsidR="00F41A2C">
        <w:t>he</w:t>
      </w:r>
      <w:r w:rsidR="00D53ED4">
        <w:t xml:space="preserve"> </w:t>
      </w:r>
      <w:r w:rsidR="00CF0C5B" w:rsidRPr="000D583F">
        <w:t>stochastic discount factor</w:t>
      </w:r>
      <w:r w:rsidRPr="000D583F">
        <w:t xml:space="preserve"> of </w:t>
      </w:r>
      <w:r w:rsidR="00CF0C5B" w:rsidRPr="000D583F">
        <w:t xml:space="preserve">the lenders </w:t>
      </w:r>
      <w:r w:rsidR="00D53ED4">
        <w:t xml:space="preserve">define above </w:t>
      </w:r>
      <w:r w:rsidR="00CF0C5B" w:rsidRPr="000D583F">
        <w:t>(</w:t>
      </w:r>
      <w:r w:rsidRPr="000D583F">
        <w:t xml:space="preserve">owners of </w:t>
      </w:r>
      <w:r w:rsidR="0040514F" w:rsidRPr="000D583F">
        <w:t>retailer's</w:t>
      </w:r>
      <w:r w:rsidRPr="000D583F">
        <w:t xml:space="preserve"> firm).</w:t>
      </w:r>
    </w:p>
    <w:p w14:paraId="0FF11C75" w14:textId="77777777" w:rsidR="00D721DE" w:rsidRPr="00963E12" w:rsidRDefault="001A66DC" w:rsidP="00865B5F">
      <w:pPr>
        <w:pStyle w:val="BodyText"/>
        <w:spacing w:before="160" w:after="160"/>
      </w:pPr>
      <w:r>
        <w:t xml:space="preserve">The </w:t>
      </w:r>
      <w:r w:rsidR="002E7B14">
        <w:t>f</w:t>
      </w:r>
      <w:r w:rsidRPr="00963E12">
        <w:t>irst-order condition w</w:t>
      </w:r>
      <w:r>
        <w:t xml:space="preserve">ith </w:t>
      </w:r>
      <w:r w:rsidR="002E7B14" w:rsidRPr="00963E12">
        <w:t>r</w:t>
      </w:r>
      <w:r w:rsidR="002E7B14">
        <w:t>egard</w:t>
      </w:r>
      <w:r>
        <w:t xml:space="preserve"> </w:t>
      </w:r>
      <w:r w:rsidRPr="00963E12">
        <w:t>t</w:t>
      </w:r>
      <w:r w:rsidR="002E7B14">
        <w:t>o</w:t>
      </w:r>
      <w:r w:rsidRPr="00963E12">
        <w:t xml:space="preserve"> price </w:t>
      </w:r>
      <m:oMath>
        <m:sSubSup>
          <m:sSubSupPr>
            <m:ctrlPr>
              <w:rPr>
                <w:rFonts w:ascii="Cambria Math" w:hAnsi="Cambria Math"/>
              </w:rPr>
            </m:ctrlPr>
          </m:sSubSupPr>
          <m:e>
            <m:r>
              <w:rPr>
                <w:rFonts w:ascii="Cambria Math" w:hAnsi="Cambria Math"/>
              </w:rPr>
              <m:t>P</m:t>
            </m:r>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rent</m:t>
            </m:r>
          </m:sup>
        </m:sSubSup>
      </m:oMath>
      <w:r w:rsidR="00635392" w:rsidRPr="00963E12">
        <w:t xml:space="preserve"> </w:t>
      </w:r>
      <w:r w:rsidR="00EC6539" w:rsidRPr="00963E12">
        <w:t>yield</w:t>
      </w:r>
      <w:r w:rsidR="0004111E" w:rsidRPr="00963E12">
        <w:t>s</w:t>
      </w:r>
      <w:r w:rsidR="00372962" w:rsidRPr="00963E12">
        <w:t xml:space="preserve"> </w:t>
      </w:r>
      <w:r w:rsidR="00251A02">
        <w:t xml:space="preserve">a </w:t>
      </w:r>
      <w:r w:rsidR="009F34D8" w:rsidRPr="00963E12">
        <w:t>nonlinear</w:t>
      </w:r>
      <w:r w:rsidR="00372962" w:rsidRPr="00963E12">
        <w:t xml:space="preserve"> Philips curve for nominal rental prices</w:t>
      </w:r>
      <w:r w:rsidR="00635392" w:rsidRPr="00963E12">
        <w:t xml:space="preserve"> (see </w:t>
      </w:r>
      <w:r w:rsidR="00243D2F">
        <w:t>the T</w:t>
      </w:r>
      <w:r w:rsidR="00865B5F">
        <w:t xml:space="preserve">echnical </w:t>
      </w:r>
      <w:r w:rsidR="00635392" w:rsidRPr="00963E12">
        <w:t>Appendi</w:t>
      </w:r>
      <w:r w:rsidR="00865B5F">
        <w:t>x</w:t>
      </w:r>
      <w:r w:rsidR="00635392" w:rsidRPr="00963E12">
        <w:t xml:space="preserve"> </w:t>
      </w:r>
      <w:r w:rsidR="00D12DF0">
        <w:t>in the supplementary materials</w:t>
      </w:r>
      <w:r w:rsidR="005122F2" w:rsidRPr="00963E12">
        <w:t xml:space="preserve"> </w:t>
      </w:r>
      <w:r w:rsidR="00635392" w:rsidRPr="00963E12">
        <w:t>for details):</w:t>
      </w:r>
    </w:p>
    <w:p w14:paraId="2FDD5E77" w14:textId="54517745" w:rsidR="00D721DE" w:rsidRPr="00963E12" w:rsidRDefault="00000000" w:rsidP="001B7894">
      <w:pPr>
        <w:pStyle w:val="BodyText"/>
        <w:spacing w:line="360" w:lineRule="auto"/>
        <w:rPr>
          <w:rFonts w:asciiTheme="majorHAnsi" w:hAnsiTheme="majorHAnsi"/>
        </w:rPr>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num>
            <m:den>
              <m:sSub>
                <m:sSubPr>
                  <m:ctrlPr>
                    <w:rPr>
                      <w:rFonts w:ascii="Cambria Math" w:hAnsi="Cambria Math"/>
                    </w:rPr>
                  </m:ctrlPr>
                </m:sSubPr>
                <m:e>
                  <m:r>
                    <w:rPr>
                      <w:rFonts w:ascii="Cambria Math" w:hAnsi="Cambria Math"/>
                    </w:rPr>
                    <m:t>r</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r</m:t>
                  </m:r>
                </m:sub>
              </m:sSub>
            </m:den>
          </m:f>
          <m:r>
            <m:rPr>
              <m:sty m:val="p"/>
            </m:rPr>
            <w:rPr>
              <w:rFonts w:ascii="Cambria Math" w:hAnsi="Cambria Math"/>
            </w:rPr>
            <m:t>+</m:t>
          </m:r>
          <m:f>
            <m:fPr>
              <m:ctrlPr>
                <w:rPr>
                  <w:rFonts w:ascii="Cambria Math" w:hAnsi="Cambria Math"/>
                </w:rPr>
              </m:ctrlPr>
            </m:fPr>
            <m:num>
              <m:r>
                <w:rPr>
                  <w:rFonts w:ascii="Cambria Math" w:hAnsi="Cambria Math"/>
                </w:rPr>
                <m:t>Θ</m:t>
              </m:r>
            </m:num>
            <m:den>
              <m:sSub>
                <m:sSubPr>
                  <m:ctrlPr>
                    <w:rPr>
                      <w:rFonts w:ascii="Cambria Math" w:hAnsi="Cambria Math"/>
                    </w:rPr>
                  </m:ctrlPr>
                </m:sSubPr>
                <m:e>
                  <m:r>
                    <w:rPr>
                      <w:rFonts w:ascii="Cambria Math" w:hAnsi="Cambria Math"/>
                    </w:rPr>
                    <m:t>η</m:t>
                  </m:r>
                </m:e>
                <m:sub>
                  <m:r>
                    <w:rPr>
                      <w:rFonts w:ascii="Cambria Math" w:hAnsi="Cambria Math"/>
                    </w:rPr>
                    <m:t>r</m:t>
                  </m:r>
                </m:sub>
              </m:sSub>
            </m:den>
          </m:f>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π</m:t>
                          </m:r>
                        </m:e>
                        <m:sup>
                          <m:r>
                            <w:rPr>
                              <w:rFonts w:ascii="Cambria Math" w:hAnsi="Cambria Math"/>
                            </w:rPr>
                            <m:t>rent</m:t>
                          </m:r>
                        </m:sup>
                      </m:sSup>
                    </m:e>
                  </m:d>
                </m:e>
                <m:sup>
                  <m:r>
                    <m:rPr>
                      <m:sty m:val="p"/>
                    </m:rPr>
                    <w:rPr>
                      <w:rFonts w:ascii="Cambria Math" w:hAnsi="Cambria Math"/>
                    </w:rPr>
                    <m:t>1-</m:t>
                  </m:r>
                  <m:r>
                    <w:rPr>
                      <w:rFonts w:ascii="Cambria Math" w:hAnsi="Cambria Math"/>
                    </w:rPr>
                    <m:t>ϕ</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e>
                  </m:d>
                </m:e>
                <m:sup>
                  <m:r>
                    <w:rPr>
                      <w:rFonts w:ascii="Cambria Math" w:hAnsi="Cambria Math"/>
                    </w:rPr>
                    <m:t>ϕ</m:t>
                  </m:r>
                </m:sup>
              </m:sSup>
            </m:e>
          </m:d>
          <m:r>
            <m:rPr>
              <m:sty m:val="p"/>
            </m:rPr>
            <w:rPr>
              <w:rFonts w:ascii="Cambria Math" w:hAnsi="Cambria Math"/>
            </w:rPr>
            <m:t>-</m:t>
          </m:r>
          <m:r>
            <w:rPr>
              <w:rFonts w:ascii="Cambria Math" w:hAnsi="Cambria Math"/>
            </w:rPr>
            <m:t>sd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sub>
          </m:sSub>
          <m:f>
            <m:fPr>
              <m:ctrlPr>
                <w:rPr>
                  <w:rFonts w:ascii="Cambria Math" w:hAnsi="Cambria Math"/>
                </w:rPr>
              </m:ctrlPr>
            </m:fPr>
            <m:num>
              <m:r>
                <w:rPr>
                  <w:rFonts w:ascii="Cambria Math" w:hAnsi="Cambria Math"/>
                </w:rPr>
                <m:t>Θ</m:t>
              </m:r>
            </m:num>
            <m:den>
              <m:sSub>
                <m:sSubPr>
                  <m:ctrlPr>
                    <w:rPr>
                      <w:rFonts w:ascii="Cambria Math" w:hAnsi="Cambria Math"/>
                    </w:rPr>
                  </m:ctrlPr>
                </m:sSubPr>
                <m:e>
                  <m:r>
                    <w:rPr>
                      <w:rFonts w:ascii="Cambria Math" w:hAnsi="Cambria Math"/>
                    </w:rPr>
                    <m:t>η</m:t>
                  </m:r>
                </m:e>
                <m:sub>
                  <m:r>
                    <w:rPr>
                      <w:rFonts w:ascii="Cambria Math" w:hAnsi="Cambria Math"/>
                    </w:rPr>
                    <m:t>r</m:t>
                  </m:r>
                </m:sub>
              </m:sSub>
            </m:den>
          </m:f>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f>
            <m:fPr>
              <m:ctrlPr>
                <w:rPr>
                  <w:rFonts w:ascii="Cambria Math" w:hAnsi="Cambria Math"/>
                  <w:i/>
                </w:rPr>
              </m:ctrlPr>
            </m:fPr>
            <m:num>
              <m:sSubSup>
                <m:sSubSupPr>
                  <m:ctrlPr>
                    <w:rPr>
                      <w:rFonts w:ascii="Cambria Math" w:hAnsi="Cambria Math"/>
                    </w:rPr>
                  </m:ctrlPr>
                </m:sSubSupPr>
                <m:e>
                  <m:r>
                    <w:rPr>
                      <w:rFonts w:ascii="Cambria Math" w:hAnsi="Cambria Math"/>
                    </w:rPr>
                    <m:t>Y</m:t>
                  </m:r>
                </m:e>
                <m:sub>
                  <m:r>
                    <w:rPr>
                      <w:rFonts w:ascii="Cambria Math" w:hAnsi="Cambria Math"/>
                    </w:rPr>
                    <m:t>t+1</m:t>
                  </m:r>
                </m:sub>
                <m:sup>
                  <m:r>
                    <w:rPr>
                      <w:rFonts w:ascii="Cambria Math" w:hAnsi="Cambria Math"/>
                    </w:rPr>
                    <m:t>rent</m:t>
                  </m:r>
                </m:sup>
              </m:sSubSup>
            </m:num>
            <m:den>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den>
          </m:f>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π</m:t>
                          </m:r>
                        </m:e>
                        <m:sup>
                          <m:r>
                            <w:rPr>
                              <w:rFonts w:ascii="Cambria Math" w:hAnsi="Cambria Math"/>
                            </w:rPr>
                            <m:t>rent</m:t>
                          </m:r>
                        </m:sup>
                      </m:sSup>
                    </m:e>
                  </m:d>
                </m:e>
                <m:sup>
                  <m:r>
                    <m:rPr>
                      <m:sty m:val="p"/>
                    </m:rPr>
                    <w:rPr>
                      <w:rFonts w:ascii="Cambria Math" w:hAnsi="Cambria Math"/>
                    </w:rPr>
                    <m:t>1-</m:t>
                  </m:r>
                  <m:r>
                    <w:rPr>
                      <w:rFonts w:ascii="Cambria Math" w:hAnsi="Cambria Math"/>
                    </w:rPr>
                    <m:t>ϕ</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e>
                  </m:d>
                </m:e>
                <m:sup>
                  <m:r>
                    <w:rPr>
                      <w:rFonts w:ascii="Cambria Math" w:hAnsi="Cambria Math"/>
                    </w:rPr>
                    <m:t>ϕ</m:t>
                  </m:r>
                </m:sup>
              </m:sSup>
            </m:e>
          </m:d>
          <m:r>
            <m:rPr>
              <m:sty m:val="p"/>
            </m:rPr>
            <w:rPr>
              <w:rFonts w:ascii="Cambria Math" w:hAnsi="Cambria Math"/>
            </w:rPr>
            <m:t xml:space="preserve">               </m:t>
          </m:r>
          <m:d>
            <m:dPr>
              <m:ctrlPr>
                <w:rPr>
                  <w:rFonts w:ascii="Cambria Math" w:hAnsi="Cambria Math"/>
                </w:rPr>
              </m:ctrlPr>
            </m:dPr>
            <m:e>
              <m:r>
                <m:rPr>
                  <m:sty m:val="p"/>
                </m:rPr>
                <w:rPr>
                  <w:rFonts w:ascii="Cambria Math" w:hAnsi="Cambria Math"/>
                </w:rPr>
                <m:t>5</m:t>
              </m:r>
            </m:e>
          </m:d>
        </m:oMath>
      </m:oMathPara>
    </w:p>
    <w:p w14:paraId="5A7DCA47" w14:textId="77777777" w:rsidR="000E0243" w:rsidRPr="00963E12" w:rsidRDefault="001A66DC" w:rsidP="001310D8">
      <w:pPr>
        <w:pStyle w:val="BodyText"/>
        <w:spacing w:before="140" w:after="140"/>
        <w:rPr>
          <w:rFonts w:asciiTheme="majorHAnsi" w:hAnsiTheme="majorHAnsi"/>
        </w:rPr>
      </w:pPr>
      <w:r w:rsidRPr="00963E12">
        <w:rPr>
          <w:rFonts w:asciiTheme="majorHAnsi" w:hAnsiTheme="majorHAnsi"/>
        </w:rPr>
        <w:t xml:space="preserve">where </w:t>
      </w:r>
      <m:oMath>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num>
          <m:den>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den>
        </m:f>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c</m:t>
            </m:r>
          </m:sup>
        </m:sSubSup>
        <m:r>
          <m:rPr>
            <m:sty m:val="p"/>
          </m:rPr>
          <w:rPr>
            <w:rFonts w:ascii="Cambria Math" w:hAnsi="Cambria Math"/>
          </w:rPr>
          <m:t>.</m:t>
        </m:r>
      </m:oMath>
    </w:p>
    <w:p w14:paraId="26C5F7D6" w14:textId="47A814FC" w:rsidR="00262219" w:rsidRPr="00963E12" w:rsidRDefault="001A66DC" w:rsidP="001310D8">
      <w:pPr>
        <w:pStyle w:val="BodyText"/>
        <w:spacing w:before="160" w:after="160"/>
      </w:pPr>
      <w:r w:rsidRPr="00963E12">
        <w:t>I</w:t>
      </w:r>
      <w:r w:rsidR="00635392" w:rsidRPr="00963E12">
        <w:t xml:space="preserve">n </w:t>
      </w:r>
      <w:r w:rsidRPr="00963E12">
        <w:t xml:space="preserve">the </w:t>
      </w:r>
      <w:r w:rsidR="00A8371B" w:rsidRPr="00963E12">
        <w:t>steady state</w:t>
      </w:r>
      <w:r w:rsidR="00635392" w:rsidRPr="00963E12">
        <w:t xml:space="preserve">, the final </w:t>
      </w:r>
      <w:r w:rsidR="00327F63" w:rsidRPr="00963E12">
        <w:t xml:space="preserve">(real) </w:t>
      </w:r>
      <w:r w:rsidR="00635392" w:rsidRPr="00963E12">
        <w:t>price of rent</w:t>
      </w:r>
      <w:r w:rsidR="00B84077" w:rsidRPr="00963E12">
        <w:t>al services</w:t>
      </w:r>
      <w:r w:rsidR="00CA4845" w:rsidRPr="00963E12">
        <w:t xml:space="preserve"> </w:t>
      </w:r>
      <w:r w:rsidRPr="00963E12">
        <w:t>(</w:t>
      </w:r>
      <m:oMath>
        <m:r>
          <w:rPr>
            <w:rFonts w:ascii="Cambria Math" w:hAnsi="Cambria Math"/>
          </w:rPr>
          <m:t>r</m:t>
        </m:r>
      </m:oMath>
      <w:r w:rsidR="00D53ED4">
        <w:rPr>
          <w:rFonts w:eastAsiaTheme="minorEastAsia"/>
        </w:rPr>
        <w:t>)</w:t>
      </w:r>
      <w:r w:rsidR="00CA4845" w:rsidRPr="00963E12">
        <w:t xml:space="preserve"> </w:t>
      </w:r>
      <w:r w:rsidR="00635392" w:rsidRPr="00963E12">
        <w:t xml:space="preserve">is </w:t>
      </w:r>
      <w:r w:rsidRPr="00963E12">
        <w:t>higher</w:t>
      </w:r>
      <w:r w:rsidR="00635392" w:rsidRPr="00963E12">
        <w:t xml:space="preserve"> than the intermediate </w:t>
      </w:r>
      <w:r w:rsidR="00327F63" w:rsidRPr="00963E12">
        <w:t xml:space="preserve">(real) </w:t>
      </w:r>
      <w:r w:rsidR="00635392" w:rsidRPr="00963E12">
        <w:t xml:space="preserve">rent </w:t>
      </w:r>
      <w:r w:rsidR="0084697F" w:rsidRPr="00963E12">
        <w:t>price</w:t>
      </w:r>
      <w:r w:rsidR="00CA4845" w:rsidRPr="00963E12">
        <w:t xml:space="preserve"> </w:t>
      </w:r>
      <w:r w:rsidRPr="00963E12">
        <w:rPr>
          <w:rFonts w:eastAsiaTheme="minorEastAsia"/>
        </w:rPr>
        <w:t>(</w:t>
      </w:r>
      <m:oMath>
        <m:sSup>
          <m:sSupPr>
            <m:ctrlPr>
              <w:rPr>
                <w:rFonts w:ascii="Cambria Math" w:hAnsi="Cambria Math"/>
              </w:rPr>
            </m:ctrlPr>
          </m:sSupPr>
          <m:e>
            <m:r>
              <w:rPr>
                <w:rFonts w:ascii="Cambria Math" w:hAnsi="Cambria Math"/>
              </w:rPr>
              <m:t>p</m:t>
            </m:r>
          </m:e>
          <m:sup>
            <m:r>
              <w:rPr>
                <w:rFonts w:ascii="Cambria Math" w:hAnsi="Cambria Math"/>
              </w:rPr>
              <m:t>m</m:t>
            </m:r>
          </m:sup>
        </m:sSup>
      </m:oMath>
      <w:r w:rsidR="00D53ED4">
        <w:rPr>
          <w:rFonts w:eastAsiaTheme="minorEastAsia"/>
        </w:rPr>
        <w:t>)</w:t>
      </w:r>
      <w:r w:rsidR="0084697F" w:rsidRPr="00963E12">
        <w:t xml:space="preserve"> </w:t>
      </w:r>
      <w:r w:rsidR="00635392" w:rsidRPr="00963E12">
        <w:t xml:space="preserve">by </w:t>
      </w:r>
      <w:r w:rsidR="00CA4845" w:rsidRPr="00963E12">
        <w:t xml:space="preserve">a </w:t>
      </w:r>
      <w:r w:rsidR="00635392" w:rsidRPr="00963E12">
        <w:t>markup</w:t>
      </w:r>
      <w:r w:rsidR="003B0495">
        <w:t xml:space="preserve"> of</w:t>
      </w:r>
      <w:r w:rsidR="00CA4845" w:rsidRPr="00963E12">
        <w:t xml:space="preserve"> (</w:t>
      </w: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num>
          <m:den>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m:t>
            </m:r>
            <m:r>
              <w:rPr>
                <w:rFonts w:ascii="Cambria Math" w:hAnsi="Cambria Math"/>
              </w:rPr>
              <m:t>1</m:t>
            </m:r>
          </m:den>
        </m:f>
        <m:sSup>
          <m:sSupPr>
            <m:ctrlPr>
              <w:rPr>
                <w:rFonts w:ascii="Cambria Math" w:hAnsi="Cambria Math"/>
              </w:rPr>
            </m:ctrlPr>
          </m:sSupPr>
          <m:e>
            <m:r>
              <w:rPr>
                <w:rFonts w:ascii="Cambria Math" w:hAnsi="Cambria Math"/>
              </w:rPr>
              <m:t>p</m:t>
            </m:r>
          </m:e>
          <m:sup>
            <m:r>
              <w:rPr>
                <w:rFonts w:ascii="Cambria Math" w:hAnsi="Cambria Math"/>
              </w:rPr>
              <m:t>m</m:t>
            </m:r>
          </m:sup>
        </m:sSup>
      </m:oMath>
      <w:r w:rsidR="00D53ED4">
        <w:t>).</w:t>
      </w:r>
      <w:r w:rsidR="00DA0E34" w:rsidRPr="00963E12">
        <w:t xml:space="preserve"> </w:t>
      </w:r>
      <w:r w:rsidRPr="00963E12">
        <w:t>Retailers' dividends</w:t>
      </w:r>
      <w:r w:rsidR="00265EEB" w:rsidRPr="00963E12">
        <w:t>, in real terms,</w:t>
      </w:r>
      <w:r w:rsidRPr="00963E12">
        <w:t xml:space="preserve"> are transferred to the lenders</w:t>
      </w:r>
      <w:r w:rsidR="003B0495">
        <w:t>:</w:t>
      </w:r>
    </w:p>
    <w:p w14:paraId="13C191C1" w14:textId="435D9D99" w:rsidR="00D721DE" w:rsidRPr="00963E12" w:rsidRDefault="001A66DC" w:rsidP="001310D8">
      <w:pPr>
        <w:pStyle w:val="BodyText"/>
        <w:spacing w:before="140" w:after="140"/>
        <w:rPr>
          <w:rFonts w:asciiTheme="majorHAnsi" w:hAnsiTheme="majorHAnsi"/>
        </w:rPr>
      </w:pPr>
      <m:oMathPara>
        <m:oMathParaPr>
          <m:jc m:val="center"/>
        </m:oMathParaPr>
        <m:oMath>
          <m:r>
            <w:rPr>
              <w:rFonts w:ascii="Cambria Math" w:hAnsi="Cambria Math"/>
            </w:rPr>
            <m:t>Di</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retail</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r>
            <m:rPr>
              <m:sty m:val="p"/>
            </m:rPr>
            <w:rPr>
              <w:rFonts w:ascii="Cambria Math" w:hAnsi="Cambria Math"/>
            </w:rPr>
            <m:t>-</m:t>
          </m:r>
          <m:f>
            <m:fPr>
              <m:ctrlPr>
                <w:rPr>
                  <w:rFonts w:ascii="Cambria Math" w:hAnsi="Cambria Math"/>
                </w:rPr>
              </m:ctrlPr>
            </m:fPr>
            <m:num>
              <m:r>
                <w:rPr>
                  <w:rFonts w:ascii="Cambria Math" w:hAnsi="Cambria Math"/>
                </w:rPr>
                <m:t>Θ</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i/>
                                </w:rPr>
                              </m:ctrlPr>
                            </m:sSupPr>
                            <m:e>
                              <m:r>
                                <w:rPr>
                                  <w:rFonts w:ascii="Cambria Math" w:hAnsi="Cambria Math"/>
                                </w:rPr>
                                <m:t>π</m:t>
                              </m:r>
                            </m:e>
                            <m:sup>
                              <m:r>
                                <w:rPr>
                                  <w:rFonts w:ascii="Cambria Math" w:hAnsi="Cambria Math"/>
                                </w:rPr>
                                <m:t>rent</m:t>
                              </m:r>
                            </m:sup>
                          </m:sSup>
                        </m:e>
                      </m:d>
                    </m:e>
                    <m:sup>
                      <m:r>
                        <m:rPr>
                          <m:sty m:val="p"/>
                        </m:rPr>
                        <w:rPr>
                          <w:rFonts w:ascii="Cambria Math" w:hAnsi="Cambria Math"/>
                        </w:rPr>
                        <m:t>1-</m:t>
                      </m:r>
                      <m:r>
                        <w:rPr>
                          <w:rFonts w:ascii="Cambria Math" w:hAnsi="Cambria Math"/>
                        </w:rPr>
                        <m:t>ϕ</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e>
                      </m:d>
                    </m:e>
                    <m:sup>
                      <m:r>
                        <w:rPr>
                          <w:rFonts w:ascii="Cambria Math" w:hAnsi="Cambria Math"/>
                        </w:rPr>
                        <m:t>ϕ</m:t>
                      </m:r>
                    </m:sup>
                  </m:sSup>
                </m:e>
              </m:d>
            </m:e>
            <m:sup>
              <m:r>
                <m:rPr>
                  <m:sty m:val="p"/>
                </m:rP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t</m:t>
              </m:r>
            </m:sub>
          </m:sSub>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oMath>
      </m:oMathPara>
    </w:p>
    <w:p w14:paraId="040157C2" w14:textId="1639D2ED" w:rsidR="00D721DE" w:rsidRDefault="001A66DC" w:rsidP="00243D2F">
      <w:pPr>
        <w:pStyle w:val="BodyText"/>
        <w:spacing w:after="0"/>
      </w:pPr>
      <w:r w:rsidRPr="00963E12">
        <w:t xml:space="preserve">where </w:t>
      </w:r>
      <m:oMath>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oMath>
      <w:r w:rsidR="0014738F" w:rsidRPr="00963E12">
        <w:t xml:space="preserve"> (see proof in </w:t>
      </w:r>
      <w:r w:rsidR="00243D2F">
        <w:t>the T</w:t>
      </w:r>
      <w:r w:rsidR="00477841">
        <w:t xml:space="preserve">echnical </w:t>
      </w:r>
      <w:r w:rsidR="0014738F" w:rsidRPr="00963E12">
        <w:t>Appendix</w:t>
      </w:r>
      <w:r w:rsidRPr="00963E12">
        <w:t>)</w:t>
      </w:r>
      <w:r w:rsidR="0014738F" w:rsidRPr="00963E12">
        <w:t>.</w:t>
      </w:r>
    </w:p>
    <w:bookmarkEnd w:id="17"/>
    <w:p w14:paraId="42905B42" w14:textId="77777777" w:rsidR="002A1DC3" w:rsidRPr="0078468F" w:rsidRDefault="001A66DC" w:rsidP="005349D7">
      <w:pPr>
        <w:pStyle w:val="BodyText"/>
        <w:rPr>
          <w:rStyle w:val="IntenseEmphasis"/>
        </w:rPr>
      </w:pPr>
      <w:r w:rsidRPr="0078468F">
        <w:rPr>
          <w:rStyle w:val="IntenseEmphasis"/>
        </w:rPr>
        <w:t xml:space="preserve">Proposition 1: </w:t>
      </w:r>
    </w:p>
    <w:p w14:paraId="3709CC24" w14:textId="77777777" w:rsidR="008847AD" w:rsidRDefault="001A66DC" w:rsidP="008847AD">
      <w:pPr>
        <w:pStyle w:val="BodyText"/>
        <w:rPr>
          <w:rFonts w:asciiTheme="majorHAnsi" w:eastAsiaTheme="minorEastAsia" w:hAnsiTheme="majorHAnsi"/>
        </w:rPr>
      </w:pPr>
      <w:r w:rsidRPr="008847AD">
        <w:rPr>
          <w:rFonts w:asciiTheme="majorHAnsi" w:eastAsiaTheme="minorEastAsia" w:hAnsiTheme="majorHAnsi"/>
        </w:rPr>
        <w:lastRenderedPageBreak/>
        <w:t>A higher loan-to-value (LTV) ratio—indicative of looser macroprudential policy—raises the ownership-to-rent ratio among borrowers in the steady state, while leaving that of lenders unaffected.</w:t>
      </w:r>
    </w:p>
    <w:p w14:paraId="0DE960C4" w14:textId="4ED52DC1" w:rsidR="000377E0" w:rsidRDefault="001A66DC" w:rsidP="00066B35">
      <w:pPr>
        <w:pStyle w:val="BodyText"/>
        <w:rPr>
          <w:rStyle w:val="IntenseEmphasis"/>
          <w:i w:val="0"/>
          <w:iCs w:val="0"/>
          <w:color w:val="auto"/>
        </w:rPr>
      </w:pPr>
      <w:r w:rsidRPr="00066B35">
        <w:rPr>
          <w:rStyle w:val="IntenseEmphasis"/>
          <w:i w:val="0"/>
          <w:iCs w:val="0"/>
          <w:color w:val="auto"/>
        </w:rPr>
        <w:t>Proof:</w:t>
      </w:r>
      <w:r w:rsidR="00066B35" w:rsidRPr="00066B35">
        <w:rPr>
          <w:rStyle w:val="IntenseEmphasis"/>
          <w:i w:val="0"/>
          <w:iCs w:val="0"/>
          <w:color w:val="auto"/>
        </w:rPr>
        <w:t xml:space="preserve"> see in appendix</w:t>
      </w:r>
      <w:r w:rsidR="00066B35">
        <w:rPr>
          <w:rStyle w:val="IntenseEmphasis"/>
          <w:i w:val="0"/>
          <w:iCs w:val="0"/>
          <w:color w:val="auto"/>
        </w:rPr>
        <w:t>.</w:t>
      </w:r>
    </w:p>
    <w:p w14:paraId="12573F9D" w14:textId="77777777" w:rsidR="00AA0E39" w:rsidRPr="006E673D" w:rsidRDefault="001A66DC" w:rsidP="00426E3A">
      <w:pPr>
        <w:pStyle w:val="Heading2"/>
      </w:pPr>
      <w:r>
        <w:t>Fi</w:t>
      </w:r>
      <w:r w:rsidRPr="006E673D">
        <w:t>rms</w:t>
      </w:r>
    </w:p>
    <w:p w14:paraId="33E7F704" w14:textId="284DC4AD" w:rsidR="00B32A15" w:rsidRPr="00BA7186" w:rsidRDefault="001A66DC" w:rsidP="00B32A15">
      <w:pPr>
        <w:pStyle w:val="BodyText"/>
      </w:pPr>
      <w:r w:rsidRPr="008E2B36">
        <w:rPr>
          <w:rFonts w:asciiTheme="majorHAnsi" w:hAnsiTheme="majorHAnsi"/>
        </w:rPr>
        <w:t xml:space="preserve">There is a continuum of monopolistically competitive firms indexed by </w:t>
      </w:r>
      <m:oMath>
        <m:r>
          <w:rPr>
            <w:rFonts w:ascii="Cambria Math" w:hAnsi="Cambria Math"/>
          </w:rPr>
          <m:t>z</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w:r w:rsidRPr="008E2B36">
        <w:rPr>
          <w:rFonts w:asciiTheme="majorHAnsi" w:hAnsiTheme="majorHAnsi"/>
        </w:rPr>
        <w:t xml:space="preserve"> </w:t>
      </w:r>
      <w:r w:rsidR="00B32A15">
        <w:rPr>
          <w:rFonts w:asciiTheme="majorHAnsi" w:hAnsiTheme="majorHAnsi"/>
        </w:rPr>
        <w:t xml:space="preserve"> </w:t>
      </w:r>
      <w:r w:rsidRPr="008E2B36">
        <w:rPr>
          <w:rFonts w:asciiTheme="majorHAnsi" w:hAnsiTheme="majorHAnsi"/>
        </w:rPr>
        <w:t xml:space="preserve">Each firm </w:t>
      </w:r>
      <w:r w:rsidR="00B32A15" w:rsidRPr="00B32A15">
        <w:rPr>
          <w:rFonts w:ascii="Utopia" w:hAnsi="Utopia"/>
          <w:color w:val="000000"/>
        </w:rPr>
        <w:t xml:space="preserve">manufactures </w:t>
      </w:r>
      <w:r w:rsidRPr="008E2B36">
        <w:rPr>
          <w:rFonts w:asciiTheme="majorHAnsi" w:hAnsiTheme="majorHAnsi"/>
        </w:rPr>
        <w:t xml:space="preserve">a differentiated intermediate good </w:t>
      </w:r>
      <w:r w:rsidR="00B32A15" w:rsidRPr="008E2B36">
        <w:rPr>
          <w:rFonts w:asciiTheme="majorHAnsi" w:hAnsiTheme="majorHAnsi"/>
        </w:rPr>
        <w:t xml:space="preserve">with a </w:t>
      </w:r>
      <w:r w:rsidR="00B32A15">
        <w:rPr>
          <w:rFonts w:asciiTheme="majorHAnsi" w:hAnsiTheme="majorHAnsi"/>
        </w:rPr>
        <w:t xml:space="preserve">linear </w:t>
      </w:r>
      <w:r w:rsidR="00B32A15" w:rsidRPr="008E2B36">
        <w:rPr>
          <w:rFonts w:asciiTheme="majorHAnsi" w:hAnsiTheme="majorHAnsi"/>
        </w:rPr>
        <w:t>production function</w:t>
      </w:r>
      <w:r w:rsidR="00B32A15">
        <w:rPr>
          <w:rFonts w:asciiTheme="majorHAnsi" w:hAnsiTheme="majorHAnsi"/>
        </w:rPr>
        <w:t xml:space="preserve"> without</w:t>
      </w:r>
      <w:r w:rsidR="00B32A15" w:rsidRPr="008E2B36">
        <w:rPr>
          <w:rFonts w:asciiTheme="majorHAnsi" w:hAnsiTheme="majorHAnsi"/>
        </w:rPr>
        <w:t xml:space="preserve"> capital</w:t>
      </w:r>
      <w:r w:rsidR="00B32A15">
        <w:rPr>
          <w:rFonts w:asciiTheme="majorHAnsi" w:hAnsiTheme="majorHAnsi"/>
        </w:rPr>
        <w:t>,</w:t>
      </w:r>
    </w:p>
    <w:p w14:paraId="275F2DFB" w14:textId="77777777" w:rsidR="00174541" w:rsidRPr="00BA7186" w:rsidRDefault="00000000" w:rsidP="008E2B36">
      <w:pPr>
        <w:pStyle w:val="BodyText"/>
        <w:jc w:val="center"/>
        <w:rPr>
          <w:rFonts w:asciiTheme="majorHAnsi" w:hAnsiTheme="majorHAnsi"/>
        </w:rPr>
      </w:p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m:t>
            </m:r>
          </m:sub>
        </m:sSub>
        <m:d>
          <m:dPr>
            <m:ctrlPr>
              <w:rPr>
                <w:rFonts w:ascii="Cambria Math" w:hAnsi="Cambria Math"/>
              </w:rPr>
            </m:ctrlPr>
          </m:dPr>
          <m:e>
            <m:r>
              <w:rPr>
                <w:rFonts w:ascii="Cambria Math" w:hAnsi="Cambria Math"/>
              </w:rPr>
              <m:t>z</m:t>
            </m:r>
          </m:e>
        </m:d>
      </m:oMath>
      <w:r w:rsidR="001A66DC" w:rsidRPr="00BA7186">
        <w:rPr>
          <w:rFonts w:asciiTheme="majorHAnsi" w:hAnsiTheme="majorHAnsi"/>
        </w:rPr>
        <w:t>,</w:t>
      </w:r>
    </w:p>
    <w:p w14:paraId="55F36036" w14:textId="47437B73" w:rsidR="007D1D82" w:rsidRDefault="007D1D82" w:rsidP="00EC7FDA">
      <w:pPr>
        <w:pStyle w:val="BodyText"/>
      </w:pPr>
      <w:r>
        <w:t xml:space="preserve">where </w:t>
      </w:r>
      <w:r w:rsidRPr="00C95DBE">
        <w:t xml:space="preserve">the aggregate labor input of the firm is a Cobb-Douglas </w:t>
      </w:r>
      <w:r w:rsidRPr="00BA7186">
        <w:t>composite</w:t>
      </w:r>
      <w:r w:rsidRPr="00C95DBE">
        <w:t xml:space="preserve"> of the agents’ labor</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sub>
                </m:sSub>
                <m:d>
                  <m:dPr>
                    <m:ctrlPr>
                      <w:rPr>
                        <w:rFonts w:ascii="Cambria Math" w:hAnsi="Cambria Math"/>
                      </w:rPr>
                    </m:ctrlPr>
                  </m:dPr>
                  <m:e>
                    <m:r>
                      <w:rPr>
                        <w:rFonts w:ascii="Cambria Math" w:hAnsi="Cambria Math"/>
                      </w:rPr>
                      <m:t>z</m:t>
                    </m:r>
                  </m:e>
                </m:d>
              </m:e>
            </m:d>
          </m:e>
          <m:sup>
            <m:r>
              <w:rPr>
                <w:rFonts w:ascii="Cambria Math" w:hAnsi="Cambria Math"/>
              </w:rPr>
              <m:t>τ</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d>
                  <m:dPr>
                    <m:ctrlPr>
                      <w:rPr>
                        <w:rFonts w:ascii="Cambria Math" w:hAnsi="Cambria Math"/>
                      </w:rPr>
                    </m:ctrlPr>
                  </m:dPr>
                  <m:e>
                    <m:r>
                      <w:rPr>
                        <w:rFonts w:ascii="Cambria Math" w:hAnsi="Cambria Math"/>
                      </w:rPr>
                      <m:t>z</m:t>
                    </m:r>
                  </m:e>
                </m:d>
              </m:e>
            </m:d>
          </m:e>
          <m:sup>
            <m:r>
              <w:rPr>
                <w:rFonts w:ascii="Cambria Math" w:hAnsi="Cambria Math"/>
              </w:rPr>
              <m:t>1</m:t>
            </m:r>
            <m:r>
              <m:rPr>
                <m:sty m:val="p"/>
              </m:rPr>
              <w:rPr>
                <w:rFonts w:ascii="Cambria Math" w:hAnsi="Cambria Math"/>
              </w:rPr>
              <m:t>-</m:t>
            </m:r>
            <m:r>
              <w:rPr>
                <w:rFonts w:ascii="Cambria Math" w:hAnsi="Cambria Math"/>
              </w:rPr>
              <m:t>τ</m:t>
            </m:r>
          </m:sup>
        </m:sSup>
      </m:oMath>
      <w:r w:rsidR="007E401C">
        <w:rPr>
          <w:rFonts w:eastAsiaTheme="minorEastAsia"/>
        </w:rPr>
        <w:t>. T</w:t>
      </w:r>
      <w:r w:rsidR="00B32A15" w:rsidRPr="008E2B36">
        <w:rPr>
          <w:rFonts w:asciiTheme="majorHAnsi" w:hAnsiTheme="majorHAnsi"/>
        </w:rPr>
        <w:t xml:space="preserve">he share of each type  is assumed to be identical to </w:t>
      </w:r>
      <w:bookmarkStart w:id="18" w:name="OLE_LINK15"/>
      <w:r w:rsidR="00B32A15" w:rsidRPr="008E2B36">
        <w:rPr>
          <w:rFonts w:asciiTheme="majorHAnsi" w:hAnsiTheme="majorHAnsi"/>
        </w:rPr>
        <w:t xml:space="preserve">the share in the population, </w:t>
      </w:r>
      <w:bookmarkStart w:id="19" w:name="OLE_LINK8"/>
      <m:oMath>
        <m:r>
          <w:rPr>
            <w:rFonts w:ascii="Cambria Math" w:hAnsi="Cambria Math"/>
          </w:rPr>
          <m:t>τ</m:t>
        </m:r>
      </m:oMath>
      <w:bookmarkEnd w:id="18"/>
      <w:bookmarkEnd w:id="19"/>
      <w:r w:rsidR="00F96EBF">
        <w:rPr>
          <w:rFonts w:asciiTheme="majorHAnsi" w:eastAsiaTheme="minorEastAsia" w:hAnsiTheme="majorHAnsi"/>
        </w:rPr>
        <w:t>,</w:t>
      </w:r>
      <w:r w:rsidR="00B32A15">
        <w:rPr>
          <w:rFonts w:asciiTheme="majorHAnsi" w:eastAsiaTheme="minorEastAsia" w:hAnsiTheme="majorHAnsi"/>
        </w:rPr>
        <w:t xml:space="preserve"> </w:t>
      </w:r>
      <w:r>
        <w:t xml:space="preserve">which </w:t>
      </w:r>
      <w:r w:rsidR="00B32A15" w:rsidRPr="00C95DBE">
        <w:t>generates constant income shares</w:t>
      </w:r>
      <w:r w:rsidR="00F96EBF">
        <w:t xml:space="preserve"> (see</w:t>
      </w:r>
      <w:r w:rsidR="00F96EBF" w:rsidRPr="00BA7186">
        <w:t xml:space="preserve"> </w:t>
      </w:r>
      <w:r w:rsidR="00F96EBF" w:rsidRPr="00C01C42">
        <w:rPr>
          <w:rFonts w:asciiTheme="majorHAnsi" w:hAnsiTheme="majorHAnsi" w:cs="David"/>
          <w:color w:val="0081AD"/>
          <w:lang w:bidi="he-IL"/>
        </w:rPr>
        <w:fldChar w:fldCharType="begin"/>
      </w:r>
      <w:r w:rsidR="00EC7FDA" w:rsidRPr="00C01C42">
        <w:rPr>
          <w:rFonts w:asciiTheme="majorHAnsi" w:hAnsiTheme="majorHAnsi" w:cs="David"/>
          <w:color w:val="0081AD"/>
          <w:lang w:bidi="he-IL"/>
        </w:rPr>
        <w:instrText xml:space="preserve"> ADDIN ZOTERO_ITEM CSL_CITATION {"citationID":"i7j6HsW1","properties":{"formattedCitation":"Benigno et al. (2020)","plainCitation":"Benigno et al. (2020)","noteIndex":0},"citationItems":[{"id":2080,"uris":["http://zotero.org/users/6680486/items/5L9A2T5P"],"itemData":{"id":2080,"type":"article-journal","abstract":"This paper proposes a postcrisis New Keynesian model that incorporates agent heterogeneity in borrowing and lending with a minimum set of assumptions. Unlike the standard framework, this model makes the natural rate of interest endogenous and dependent on macroeconomic policy. The main application is to study optimal monetary policy at the zero lower bound (ZLB). Such policy succeeds in raising the natural rate of interest by creating an environment that speeds up deleveraging and thus endogenously shortens the crisis and the duration of binding ZLB. Inflation should be front-loaded and should overshoot its long-term target during the ZLB episode.","citation-key":"benignoDynamicDebtDeleveraging2020","container-title":"American Economic Journal: Macroeconomics","DOI":"10.1257/mac.20160124","ISSN":"1945-7707","issue":"2","language":"en","page":"310-350","source":"www.aeaweb.org","title":"Dynamic Debt Deleveraging and Optimal Monetary Policy","volume":"12","author":[{"family":"Benigno","given":"Pierpaolo"},{"family":"Eggertsson","given":"Gauti B."},{"family":"Romei","given":"Federica"}],"issued":{"date-parts":[["2020",4]]}}}],"schema":"https://github.com/citation-style-language/schema/raw/master/csl-citation.json"} </w:instrText>
      </w:r>
      <w:r w:rsidR="00F96EBF" w:rsidRPr="00C01C42">
        <w:rPr>
          <w:rFonts w:asciiTheme="majorHAnsi" w:hAnsiTheme="majorHAnsi" w:cs="David"/>
          <w:color w:val="0081AD"/>
          <w:lang w:bidi="he-IL"/>
        </w:rPr>
        <w:fldChar w:fldCharType="separate"/>
      </w:r>
      <w:r w:rsidR="00EC7FDA" w:rsidRPr="00C01C42">
        <w:rPr>
          <w:rFonts w:asciiTheme="majorHAnsi" w:hAnsiTheme="majorHAnsi" w:cs="David"/>
          <w:color w:val="0081AD"/>
          <w:lang w:bidi="he-IL"/>
        </w:rPr>
        <w:t>Benigno et al. (2020)</w:t>
      </w:r>
      <w:r w:rsidR="00F96EBF" w:rsidRPr="00C01C42">
        <w:rPr>
          <w:rFonts w:asciiTheme="majorHAnsi" w:hAnsiTheme="majorHAnsi" w:cs="David"/>
          <w:color w:val="0081AD"/>
          <w:lang w:bidi="he-IL"/>
        </w:rPr>
        <w:fldChar w:fldCharType="end"/>
      </w:r>
      <w:r w:rsidR="00F96EBF" w:rsidRPr="00C01C42">
        <w:rPr>
          <w:rFonts w:asciiTheme="majorHAnsi" w:hAnsiTheme="majorHAnsi" w:cs="David"/>
          <w:color w:val="0081AD"/>
          <w:lang w:bidi="he-IL"/>
        </w:rPr>
        <w:t xml:space="preserve"> </w:t>
      </w:r>
      <w:r w:rsidR="00F96EBF">
        <w:t xml:space="preserve">and </w:t>
      </w:r>
      <w:r w:rsidR="00F96EBF" w:rsidRPr="00C01C42">
        <w:rPr>
          <w:rFonts w:asciiTheme="majorHAnsi" w:hAnsiTheme="majorHAnsi" w:cs="David"/>
          <w:color w:val="0081AD"/>
          <w:lang w:bidi="he-IL"/>
        </w:rPr>
        <w:fldChar w:fldCharType="begin"/>
      </w:r>
      <w:r w:rsidR="00EC7FDA" w:rsidRPr="00C01C42">
        <w:rPr>
          <w:rFonts w:asciiTheme="majorHAnsi" w:hAnsiTheme="majorHAnsi" w:cs="David"/>
          <w:color w:val="0081AD"/>
          <w:lang w:bidi="he-IL"/>
        </w:rPr>
        <w:instrText xml:space="preserve"> ADDIN ZOTERO_ITEM CSL_CITATION {"citationID":"5d9VGdgT","properties":{"formattedCitation":"Sun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F96EBF" w:rsidRPr="00C01C42">
        <w:rPr>
          <w:rFonts w:asciiTheme="majorHAnsi" w:hAnsiTheme="majorHAnsi" w:cs="David"/>
          <w:color w:val="0081AD"/>
          <w:lang w:bidi="he-IL"/>
        </w:rPr>
        <w:fldChar w:fldCharType="separate"/>
      </w:r>
      <w:r w:rsidR="00EC7FDA" w:rsidRPr="00C01C42">
        <w:rPr>
          <w:rFonts w:asciiTheme="majorHAnsi" w:hAnsiTheme="majorHAnsi" w:cs="David"/>
          <w:color w:val="0081AD"/>
          <w:lang w:bidi="he-IL"/>
        </w:rPr>
        <w:t>Sun and Tsang (2017)</w:t>
      </w:r>
      <w:r w:rsidR="00F96EBF" w:rsidRPr="00C01C42">
        <w:rPr>
          <w:rFonts w:asciiTheme="majorHAnsi" w:hAnsiTheme="majorHAnsi" w:cs="David"/>
          <w:color w:val="0081AD"/>
          <w:lang w:bidi="he-IL"/>
        </w:rPr>
        <w:fldChar w:fldCharType="end"/>
      </w:r>
      <w:r w:rsidR="00F96EBF">
        <w:t>).</w:t>
      </w:r>
    </w:p>
    <w:p w14:paraId="394E3B61" w14:textId="3B1FFC15" w:rsidR="00174541" w:rsidRPr="00BA7186" w:rsidRDefault="001A66DC" w:rsidP="005349D7">
      <w:pPr>
        <w:pStyle w:val="BodyText"/>
      </w:pPr>
      <w:r w:rsidRPr="00BA7186">
        <w:t xml:space="preserve">The </w:t>
      </w:r>
      <w:r w:rsidR="00D571AA" w:rsidRPr="00BA7186">
        <w:t>differentiated good</w:t>
      </w:r>
      <w:r w:rsidRPr="00BA7186">
        <w:t xml:space="preserve"> firms sell their products in a monopolistic competition to a composite firm, producing the aggregate domestic good:</w:t>
      </w:r>
    </w:p>
    <w:p w14:paraId="0948DA19" w14:textId="77777777" w:rsidR="00174541" w:rsidRPr="00BA7186" w:rsidRDefault="00000000" w:rsidP="005349D7">
      <w:pPr>
        <w:pStyle w:val="BodyText"/>
        <w:rPr>
          <w:rFonts w:asciiTheme="majorHAnsi" w:hAnsiTheme="majorHAnsi"/>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
                        <m:sSubPr>
                          <m:ctrlPr>
                            <w:rPr>
                              <w:rFonts w:ascii="Cambria Math" w:hAnsi="Cambria Math"/>
                            </w:rPr>
                          </m:ctrlPr>
                        </m:sSubPr>
                        <m:e>
                          <m:r>
                            <w:rPr>
                              <w:rFonts w:ascii="Cambria Math" w:hAnsi="Cambria Math"/>
                            </w:rPr>
                            <m:t>Y</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z</m:t>
                              </m:r>
                            </m:e>
                          </m:d>
                        </m:e>
                        <m:sup>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t</m:t>
                                  </m:r>
                                </m:sub>
                              </m:sSub>
                            </m:den>
                          </m:f>
                        </m:sup>
                      </m:sSup>
                      <m:r>
                        <w:rPr>
                          <w:rFonts w:ascii="Cambria Math" w:hAnsi="Cambria Math"/>
                        </w:rPr>
                        <m:t>dz</m:t>
                      </m:r>
                    </m:e>
                  </m:nary>
                </m:e>
              </m:d>
            </m:e>
            <m:sup>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t</m:t>
                      </m:r>
                    </m:sub>
                  </m:sSub>
                </m:num>
                <m:den>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r>
                    <w:rPr>
                      <w:rFonts w:ascii="Cambria Math" w:hAnsi="Cambria Math"/>
                    </w:rPr>
                    <m:t>1</m:t>
                  </m:r>
                </m:den>
              </m:f>
            </m:sup>
          </m:sSup>
          <m:r>
            <w:rPr>
              <w:rFonts w:ascii="Cambria Math" w:hAnsi="Cambria Math"/>
            </w:rPr>
            <m:t>,</m:t>
          </m:r>
        </m:oMath>
      </m:oMathPara>
    </w:p>
    <w:p w14:paraId="4AE3AD19" w14:textId="77777777" w:rsidR="00174541" w:rsidRPr="00BA7186" w:rsidRDefault="001A66DC" w:rsidP="003D2960">
      <w:pPr>
        <w:pStyle w:val="BodyText"/>
      </w:pPr>
      <w:r>
        <w:t>w</w:t>
      </w:r>
      <w:r w:rsidR="00934199" w:rsidRPr="00BA7186">
        <w:t xml:space="preserve">here </w:t>
      </w:r>
      <m:oMath>
        <m:sSub>
          <m:sSubPr>
            <m:ctrlPr>
              <w:rPr>
                <w:rFonts w:ascii="Cambria Math" w:hAnsi="Cambria Math"/>
              </w:rPr>
            </m:ctrlPr>
          </m:sSubPr>
          <m:e>
            <m:r>
              <w:rPr>
                <w:rFonts w:ascii="Cambria Math" w:hAnsi="Cambria Math"/>
              </w:rPr>
              <m:t>η</m:t>
            </m:r>
          </m:e>
          <m:sub>
            <m:r>
              <w:rPr>
                <w:rFonts w:ascii="Cambria Math" w:hAnsi="Cambria Math"/>
              </w:rPr>
              <m:t>t</m:t>
            </m:r>
          </m:sub>
        </m:sSub>
      </m:oMath>
      <w:r w:rsidRPr="00BA7186">
        <w:t xml:space="preserve"> is the (time-varying) elasticity of substitution between the differentiated goods, thus serving as a "mark-up shock" to inflation </w:t>
      </w:r>
      <m:oMath>
        <m:sSub>
          <m:sSubPr>
            <m:ctrlPr>
              <w:rPr>
                <w:rFonts w:ascii="Cambria Math" w:hAnsi="Cambria Math"/>
              </w:rPr>
            </m:ctrlPr>
          </m:sSubPr>
          <m:e>
            <m:r>
              <w:rPr>
                <w:rFonts w:ascii="Cambria Math" w:hAnsi="Cambria Math"/>
              </w:rPr>
              <m:t>π</m:t>
            </m:r>
          </m:e>
          <m:sub>
            <m:r>
              <w:rPr>
                <w:rFonts w:ascii="Cambria Math" w:hAnsi="Cambria Math"/>
              </w:rPr>
              <m:t>t</m:t>
            </m:r>
          </m:sub>
        </m:sSub>
      </m:oMath>
      <w:r w:rsidRPr="00BA7186">
        <w:t xml:space="preserve">. The shock </w:t>
      </w: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t</m:t>
                </m:r>
              </m:sub>
            </m:sSub>
          </m:e>
        </m:d>
      </m:oMath>
      <w:r w:rsidRPr="00BA7186">
        <w:t xml:space="preserve"> follows </w:t>
      </w:r>
      <m:oMath>
        <m:r>
          <w:rPr>
            <w:rFonts w:ascii="Cambria Math" w:hAnsi="Cambria Math"/>
          </w:rPr>
          <m:t>AR</m:t>
        </m:r>
        <m:d>
          <m:dPr>
            <m:ctrlPr>
              <w:rPr>
                <w:rFonts w:ascii="Cambria Math" w:hAnsi="Cambria Math"/>
              </w:rPr>
            </m:ctrlPr>
          </m:dPr>
          <m:e>
            <m:r>
              <w:rPr>
                <w:rFonts w:ascii="Cambria Math" w:hAnsi="Cambria Math"/>
              </w:rPr>
              <m:t>1</m:t>
            </m:r>
          </m:e>
        </m:d>
      </m:oMath>
      <w:r w:rsidRPr="00BA7186">
        <w:t xml:space="preserve"> process.</w:t>
      </w:r>
    </w:p>
    <w:p w14:paraId="1B7484E1" w14:textId="77777777" w:rsidR="00E51932" w:rsidRPr="00BA7186" w:rsidRDefault="001A66DC" w:rsidP="005349D7">
      <w:pPr>
        <w:pStyle w:val="BodyText"/>
      </w:pPr>
      <w:r w:rsidRPr="00BA7186">
        <w:t xml:space="preserve">The aggregate good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BA7186">
        <w:rPr>
          <w:rFonts w:ascii="Cambria" w:hAnsi="Cambria" w:cs="Cambria"/>
        </w:rPr>
        <w:t> </w:t>
      </w:r>
      <w:r w:rsidRPr="00BA7186">
        <w:t>is then sold in perfect competition at the price</w:t>
      </w:r>
      <w:r w:rsidR="00934199">
        <w:t xml:space="preserve"> of</w:t>
      </w:r>
      <w:r w:rsidRPr="00BA7186">
        <w:t xml:space="preserv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m:rPr>
            <m:sty m:val="p"/>
          </m:rPr>
          <w:rPr>
            <w:rFonts w:ascii="Cambria Math" w:hAnsi="Cambria Math"/>
          </w:rPr>
          <m:t>=</m:t>
        </m:r>
      </m:oMath>
      <w:r w:rsidRPr="00BA7186">
        <w:t xml:space="preserve"> </w:t>
      </w:r>
      <m:oMath>
        <m:sSup>
          <m:sSupPr>
            <m:ctrlPr>
              <w:rPr>
                <w:rFonts w:ascii="Cambria Math" w:hAnsi="Cambria Math"/>
              </w:rPr>
            </m:ctrlPr>
          </m:sSupPr>
          <m:e>
            <m:d>
              <m:dPr>
                <m:ctrlPr>
                  <w:rPr>
                    <w:rFonts w:ascii="Cambria Math" w:hAnsi="Cambria Math"/>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bSup>
                      <m:sSubSupPr>
                        <m:ctrlPr>
                          <w:rPr>
                            <w:rFonts w:ascii="Cambria Math" w:hAnsi="Cambria Math"/>
                            <w:i/>
                          </w:rPr>
                        </m:ctrlPr>
                      </m:sSubSupPr>
                      <m:e>
                        <m:r>
                          <w:rPr>
                            <w:rFonts w:ascii="Cambria Math" w:hAnsi="Cambria Math"/>
                          </w:rPr>
                          <m:t>P</m:t>
                        </m:r>
                      </m:e>
                      <m:sub>
                        <m:r>
                          <w:rPr>
                            <w:rFonts w:ascii="Cambria Math" w:hAnsi="Cambria Math"/>
                          </w:rPr>
                          <m:t>t</m:t>
                        </m:r>
                      </m:sub>
                      <m:sup>
                        <m:r>
                          <w:rPr>
                            <w:rFonts w:ascii="Cambria Math" w:hAnsi="Cambria Math"/>
                          </w:rPr>
                          <m:t>c</m:t>
                        </m:r>
                      </m:sup>
                    </m:sSubSup>
                    <m:sSup>
                      <m:sSupPr>
                        <m:ctrlPr>
                          <w:rPr>
                            <w:rFonts w:ascii="Cambria Math" w:hAnsi="Cambria Math"/>
                          </w:rPr>
                        </m:ctrlPr>
                      </m:sSupPr>
                      <m:e>
                        <m:d>
                          <m:dPr>
                            <m:ctrlPr>
                              <w:rPr>
                                <w:rFonts w:ascii="Cambria Math" w:hAnsi="Cambria Math"/>
                              </w:rPr>
                            </m:ctrlPr>
                          </m:dPr>
                          <m:e>
                            <m:r>
                              <w:rPr>
                                <w:rFonts w:ascii="Cambria Math" w:hAnsi="Cambria Math"/>
                              </w:rPr>
                              <m:t>z</m:t>
                            </m:r>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sup>
                    </m:sSup>
                    <m:r>
                      <w:rPr>
                        <w:rFonts w:ascii="Cambria Math" w:hAnsi="Cambria Math"/>
                      </w:rPr>
                      <m:t>dz</m:t>
                    </m:r>
                  </m:e>
                </m:nary>
              </m:e>
            </m:d>
          </m:e>
          <m:sup>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den>
            </m:f>
          </m:sup>
        </m:sSup>
      </m:oMath>
      <w:r w:rsidRPr="00BA7186">
        <w:t xml:space="preserve"> and is used for private consumption. </w:t>
      </w:r>
    </w:p>
    <w:p w14:paraId="601A7BAF" w14:textId="77777777" w:rsidR="00174541" w:rsidRPr="00BA7186" w:rsidRDefault="001A66DC" w:rsidP="005349D7">
      <w:pPr>
        <w:pStyle w:val="BodyText"/>
      </w:pPr>
      <w:r w:rsidRPr="00BA7186">
        <w:t>Minimizing production costs by the composite firm implies the following demand functions for the differentiated goods:</w:t>
      </w:r>
    </w:p>
    <w:p w14:paraId="7307E181" w14:textId="77777777" w:rsidR="00174541" w:rsidRPr="00BA7186" w:rsidRDefault="00000000" w:rsidP="0061324B">
      <w:pPr>
        <w:pStyle w:val="BodyText"/>
        <w:jc w:val="center"/>
        <w:rPr>
          <w:rFonts w:asciiTheme="majorHAnsi" w:hAnsiTheme="majorHAnsi"/>
        </w:rPr>
      </w:pPr>
      <m:oMath>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d>
                      <m:dPr>
                        <m:ctrlPr>
                          <w:rPr>
                            <w:rFonts w:ascii="Cambria Math" w:hAnsi="Cambria Math"/>
                          </w:rPr>
                        </m:ctrlPr>
                      </m:dPr>
                      <m:e>
                        <m:r>
                          <w:rPr>
                            <w:rFonts w:ascii="Cambria Math" w:hAnsi="Cambria Math"/>
                          </w:rPr>
                          <m:t>z</m:t>
                        </m:r>
                      </m:e>
                    </m:d>
                  </m:num>
                  <m:den>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den>
                </m:f>
              </m:e>
            </m:d>
          </m:e>
          <m: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sup>
        </m:sSup>
        <m:sSub>
          <m:sSubPr>
            <m:ctrlPr>
              <w:rPr>
                <w:rFonts w:ascii="Cambria Math" w:hAnsi="Cambria Math"/>
              </w:rPr>
            </m:ctrlPr>
          </m:sSubPr>
          <m:e>
            <m:r>
              <w:rPr>
                <w:rFonts w:ascii="Cambria Math" w:hAnsi="Cambria Math"/>
              </w:rPr>
              <m:t>Y</m:t>
            </m:r>
          </m:e>
          <m:sub>
            <m:r>
              <w:rPr>
                <w:rFonts w:ascii="Cambria Math" w:hAnsi="Cambria Math"/>
              </w:rPr>
              <m:t>t</m:t>
            </m:r>
          </m:sub>
        </m:sSub>
      </m:oMath>
      <w:r w:rsidR="00E51932" w:rsidRPr="00BA7186">
        <w:rPr>
          <w:rFonts w:asciiTheme="majorHAnsi" w:hAnsiTheme="majorHAnsi"/>
        </w:rPr>
        <w:t>.</w:t>
      </w:r>
    </w:p>
    <w:p w14:paraId="10631883" w14:textId="44FD7195" w:rsidR="002F0289" w:rsidRPr="00BA7186" w:rsidRDefault="001A66DC" w:rsidP="00EC7FDA">
      <w:pPr>
        <w:pStyle w:val="BodyText"/>
      </w:pPr>
      <w:r w:rsidRPr="00BA7186">
        <w:t>We assume nominal price rigidities à</w:t>
      </w:r>
      <w:r w:rsidR="00D571AA">
        <w:t xml:space="preserve"> </w:t>
      </w:r>
      <w:r w:rsidR="00D571AA" w:rsidRPr="000D583F">
        <w:t>la</w:t>
      </w:r>
      <w:r w:rsidR="00D571AA">
        <w:t xml:space="preserve"> </w:t>
      </w:r>
      <w:r w:rsidR="00D571AA" w:rsidRPr="00164CE0">
        <w:rPr>
          <w:color w:val="0081AD"/>
        </w:rPr>
        <w:fldChar w:fldCharType="begin"/>
      </w:r>
      <w:r w:rsidR="00806044">
        <w:rPr>
          <w:color w:val="0081AD"/>
        </w:rPr>
        <w:instrText xml:space="preserve"> ADDIN ZOTERO_ITEM CSL_CITATION {"citationID":"D7iOSy7g","properties":{"unsorted":false,"formattedCitation":"Rotemberg (1982)","plainCitation":"Rotemberg (1982)","noteIndex":0},"citationItems":[{"id":19094,"uris":["http://zotero.org/users/6680486/items/NKM7CWGV"],"itemData":{"id":19094,"type":"article-journal","abstract":"This paper studies the consequences for the behaviour of aggregate output of the perception on the part of firms that changing prices is costly. The rational expectations equilibrium of an economy with many such firms is constructed. It is shown that in this economy nominal shocks have a persistent effect on aggregate output. Furthermore, the real wage is demonstrated to move procyclically in such an economy.","citation-key":"rotembergMonopolisticPriceAdjustment1982b","container-title":"The Review of Economic Studies","DOI":"10.2307/2297284","ISSN":"0034-6527","issue":"4","journalAbbreviation":"Rev Econ Stud","page":"517-531","source":"Silverchair","title":"Monopolistic Price Adjustment and Aggregate Output","volume":"49","author":[{"family":"Rotemberg","given":"Julio J."}],"issued":{"date-parts":[["1982",10,1]]}}}],"schema":"https://github.com/citation-style-language/schema/raw/master/csl-citation.json"} </w:instrText>
      </w:r>
      <w:r w:rsidR="00D571AA" w:rsidRPr="00164CE0">
        <w:rPr>
          <w:color w:val="0081AD"/>
        </w:rPr>
        <w:fldChar w:fldCharType="separate"/>
      </w:r>
      <w:r w:rsidR="00D571AA" w:rsidRPr="00164CE0">
        <w:rPr>
          <w:rFonts w:ascii="Utopia" w:hAnsi="Utopia"/>
          <w:color w:val="0081AD"/>
        </w:rPr>
        <w:t>Rotemberg (1982)</w:t>
      </w:r>
      <w:r w:rsidR="00D571AA" w:rsidRPr="00164CE0">
        <w:rPr>
          <w:color w:val="0081AD"/>
        </w:rPr>
        <w:fldChar w:fldCharType="end"/>
      </w:r>
      <w:r w:rsidRPr="00BA7186">
        <w:t xml:space="preserve">. Each firm </w:t>
      </w:r>
      <m:oMath>
        <m:r>
          <w:rPr>
            <w:rFonts w:ascii="Cambria Math" w:hAnsi="Cambria Math"/>
          </w:rPr>
          <m:t>z</m:t>
        </m:r>
      </m:oMath>
      <w:r w:rsidRPr="00BA7186">
        <w:t xml:space="preserve"> seeks to maximize its expected profits, and the discounting factor of prof</w:t>
      </w:r>
      <w:r w:rsidR="00051335" w:rsidRPr="00BA7186">
        <w:t xml:space="preserve">its depends on </w:t>
      </w:r>
      <w:r w:rsidRPr="00BA7186">
        <w:t xml:space="preserve">the ownership of the </w:t>
      </w:r>
      <w:r w:rsidR="00051335" w:rsidRPr="00BA7186">
        <w:t>firms</w:t>
      </w:r>
      <w:r w:rsidRPr="00BA7186">
        <w:t>,</w:t>
      </w:r>
      <w:r w:rsidR="00051335" w:rsidRPr="00BA7186">
        <w:t xml:space="preserve"> which </w:t>
      </w:r>
      <w:r w:rsidRPr="00BA7186">
        <w:t xml:space="preserve">is </w:t>
      </w:r>
      <w:r w:rsidR="00051335" w:rsidRPr="00BA7186">
        <w:t>assume</w:t>
      </w:r>
      <w:r w:rsidRPr="00BA7186">
        <w:t>d to</w:t>
      </w:r>
      <w:r w:rsidR="00051335" w:rsidRPr="00BA7186">
        <w:t xml:space="preserve"> belong to</w:t>
      </w:r>
      <w:r w:rsidRPr="00BA7186">
        <w:t xml:space="preserve"> </w:t>
      </w:r>
      <w:r w:rsidR="00051335" w:rsidRPr="00BA7186">
        <w:t>t</w:t>
      </w:r>
      <w:r w:rsidRPr="00BA7186">
        <w:t xml:space="preserve">he </w:t>
      </w:r>
      <w:r w:rsidR="00F551B0" w:rsidRPr="00BA7186">
        <w:t>lenders</w:t>
      </w:r>
      <w:r w:rsidRPr="00BA7186">
        <w:t xml:space="preserve">. This assumption is in line with </w:t>
      </w:r>
      <w:r w:rsidR="006E2E1B" w:rsidRPr="009A40B0">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{"citationID":"sOsIdOwt","properties":{"formattedCitation":"Guerrieri and Iacoviello (2017)","plainCitation":"Guerrieri and Iacoviello (2017)","noteIndex":0},"citationItems":[{"id":1639,"uris":["http://zotero.org/users/6680486/items/6CDSLSVW"],"itemData":{"id":1639,"type":"article-journal","citation-key":"Guerrieri_Iacoviello_2017","container-title":"Journal of Monetary Economics","DOI":"10.1016/j.jmoneco.2017.06.004","ISSN":"03043932","journalAbbreviation":"Journal of Monetary Economics","language":"en","page":"28-49","source":"DOI.org (Crossref)","title":"Collateral constraints and macroeconomic asymmetries","volume":"90","author":[{"family":"Guerrieri","given":"Luca"},{"family":"Iacoviello","given":"Matteo"}],"issued":{"date-parts":[["2017",10]]}}}],"schema":"https://github.com/citation-style-language/schema/raw/master/csl-citation.json"} </w:instrText>
      </w:r>
      <w:r w:rsidR="006E2E1B" w:rsidRPr="009A40B0">
        <w:rPr>
          <w:rFonts w:asciiTheme="majorHAnsi" w:hAnsiTheme="majorHAnsi" w:cs="David"/>
          <w:color w:val="0081AD"/>
          <w:lang w:bidi="he-IL"/>
        </w:rPr>
        <w:fldChar w:fldCharType="separate"/>
      </w:r>
      <w:r w:rsidR="00EC7FDA" w:rsidRPr="00F9130F">
        <w:rPr>
          <w:rFonts w:asciiTheme="majorHAnsi" w:hAnsiTheme="majorHAnsi" w:cs="David"/>
          <w:color w:val="0081AD"/>
          <w:lang w:bidi="he-IL"/>
        </w:rPr>
        <w:t>Guerrieri and Iacoviello (2017)</w:t>
      </w:r>
      <w:r w:rsidR="006E2E1B" w:rsidRPr="009A40B0">
        <w:rPr>
          <w:rFonts w:asciiTheme="majorHAnsi" w:hAnsiTheme="majorHAnsi" w:cs="David"/>
          <w:color w:val="0081AD"/>
          <w:lang w:bidi="he-IL"/>
        </w:rPr>
        <w:fldChar w:fldCharType="end"/>
      </w:r>
      <w:r w:rsidR="00F9130F" w:rsidRPr="00F9130F">
        <w:t>.</w:t>
      </w:r>
      <w:r w:rsidRPr="00BA7186">
        <w:t xml:space="preserve"> </w:t>
      </w:r>
    </w:p>
    <w:p w14:paraId="44B01CCD" w14:textId="77777777" w:rsidR="006554FE" w:rsidRDefault="001A66DC" w:rsidP="006554FE">
      <w:pPr>
        <w:pStyle w:val="BodyText"/>
      </w:pPr>
      <w:r w:rsidRPr="006554FE">
        <w:t>The expected profits, expressed in real terms of consumption goods:</w:t>
      </w:r>
    </w:p>
    <w:p w14:paraId="334DBBB1" w14:textId="77777777" w:rsidR="00174541" w:rsidRPr="00BA7186" w:rsidRDefault="001A66DC" w:rsidP="00D51618">
      <w:pPr>
        <w:pStyle w:val="BodyText"/>
        <w:rPr>
          <w:rFonts w:asciiTheme="majorHAnsi" w:eastAsiaTheme="minorEastAsia" w:hAnsiTheme="majorHAnsi"/>
        </w:rPr>
      </w:pPr>
      <m:oMathPara>
        <m:oMathParaPr>
          <m:jc m:val="center"/>
        </m:oMathParaPr>
        <m:oMath>
          <m:r>
            <m:rPr>
              <m:sty m:val="p"/>
            </m:rPr>
            <w:rPr>
              <w:rFonts w:ascii="Cambria Math" w:hAnsi="Cambria Math"/>
            </w:rPr>
            <w:lastRenderedPageBreak/>
            <m:t>max</m:t>
          </m:r>
          <m:sSub>
            <m:sSubPr>
              <m:ctrlPr>
                <w:rPr>
                  <w:rFonts w:ascii="Cambria Math" w:hAnsi="Cambria Math"/>
                </w:rPr>
              </m:ctrlPr>
            </m:sSubPr>
            <m:e>
              <m:r>
                <w:rPr>
                  <w:rFonts w:ascii="Cambria Math" w:hAnsi="Cambria Math"/>
                </w:rPr>
                <m:t>E</m:t>
              </m:r>
            </m:e>
            <m:sub>
              <m:r>
                <w:rPr>
                  <w:rFonts w:ascii="Cambria Math" w:hAnsi="Cambria Math"/>
                </w:rPr>
                <m:t>t</m:t>
              </m:r>
            </m:sub>
          </m:sSub>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m:rPr>
                  <m:sty m:val="p"/>
                </m:rPr>
                <w:rPr>
                  <w:rFonts w:ascii="Cambria Math" w:hAnsi="Cambria Math"/>
                </w:rPr>
                <m:t>∞</m:t>
              </m:r>
            </m:sup>
            <m:e>
              <m:r>
                <w:rPr>
                  <w:rFonts w:ascii="Cambria Math" w:hAnsi="Cambria Math"/>
                </w:rPr>
                <m:t>s</m:t>
              </m:r>
            </m:e>
          </m:nary>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z</m:t>
              </m:r>
            </m:e>
          </m:d>
          <m:r>
            <m:rPr>
              <m:sty m:val="p"/>
            </m:rPr>
            <w:rPr>
              <w:rFonts w:ascii="Cambria Math" w:hAnsi="Cambria Math"/>
            </w:rPr>
            <m:t>,</m:t>
          </m:r>
        </m:oMath>
      </m:oMathPara>
    </w:p>
    <w:p w14:paraId="48263943" w14:textId="77777777" w:rsidR="007B6A51" w:rsidRPr="00B555B8" w:rsidRDefault="001A66DC" w:rsidP="006B287C">
      <w:pPr>
        <w:pStyle w:val="BodyText"/>
        <w:rPr>
          <w:rFonts w:ascii="David" w:hAnsi="David"/>
        </w:rPr>
      </w:pPr>
      <w:r>
        <w:rPr>
          <w:rFonts w:asciiTheme="majorHAnsi" w:eastAsiaTheme="minorEastAsia" w:hAnsiTheme="majorHAnsi"/>
        </w:rPr>
        <w:t>w</w:t>
      </w:r>
      <w:r w:rsidR="00223431" w:rsidRPr="00BA7186">
        <w:rPr>
          <w:rFonts w:asciiTheme="majorHAnsi" w:eastAsiaTheme="minorEastAsia" w:hAnsiTheme="majorHAnsi"/>
        </w:rPr>
        <w:t xml:space="preserve">here </w:t>
      </w:r>
      <m:oMath>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z</m:t>
            </m:r>
          </m:e>
        </m:d>
      </m:oMath>
      <w:r w:rsidRPr="00BA7186">
        <w:rPr>
          <w:rFonts w:asciiTheme="majorHAnsi" w:hAnsiTheme="majorHAnsi"/>
        </w:rPr>
        <w:t xml:space="preserve"> is </w:t>
      </w:r>
      <w:r w:rsidR="00223431">
        <w:rPr>
          <w:rFonts w:asciiTheme="majorHAnsi" w:hAnsiTheme="majorHAnsi"/>
        </w:rPr>
        <w:t>the</w:t>
      </w:r>
      <w:r w:rsidR="00223431" w:rsidRPr="00BA7186">
        <w:rPr>
          <w:rFonts w:asciiTheme="majorHAnsi" w:hAnsiTheme="majorHAnsi"/>
        </w:rPr>
        <w:t xml:space="preserve"> </w:t>
      </w:r>
      <w:r w:rsidR="004A79B4">
        <w:rPr>
          <w:rFonts w:asciiTheme="majorHAnsi" w:hAnsiTheme="majorHAnsi"/>
        </w:rPr>
        <w:t>real</w:t>
      </w:r>
      <w:r w:rsidRPr="00BA7186">
        <w:rPr>
          <w:rFonts w:asciiTheme="majorHAnsi" w:hAnsiTheme="majorHAnsi"/>
        </w:rPr>
        <w:t xml:space="preserve"> profit of firm </w:t>
      </w:r>
      <m:oMath>
        <m:r>
          <w:rPr>
            <w:rFonts w:ascii="Cambria Math" w:hAnsi="Cambria Math"/>
          </w:rPr>
          <m:t>z</m:t>
        </m:r>
      </m:oMath>
      <w:r w:rsidR="00A10BCA">
        <w:rPr>
          <w:rFonts w:asciiTheme="majorHAnsi" w:eastAsiaTheme="minorEastAsia" w:hAnsiTheme="majorHAnsi"/>
        </w:rPr>
        <w:t xml:space="preserve"> defined below</w:t>
      </w:r>
      <w:r w:rsidR="006B287C">
        <w:rPr>
          <w:rFonts w:asciiTheme="majorHAnsi" w:eastAsiaTheme="minorEastAsia" w:hAnsiTheme="majorHAnsi"/>
        </w:rPr>
        <w:t>:</w:t>
      </w:r>
      <m:oMath>
        <m:r>
          <m:rPr>
            <m:sty m:val="p"/>
          </m:rPr>
          <w:rPr>
            <w:rFonts w:ascii="Cambria Math" w:hAnsi="Cambria Math"/>
          </w:rPr>
          <w:br/>
        </m:r>
      </m:oMath>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d>
                <m:dPr>
                  <m:ctrlPr>
                    <w:rPr>
                      <w:rFonts w:ascii="Cambria Math" w:hAnsi="Cambria Math"/>
                    </w:rPr>
                  </m:ctrlPr>
                </m:dPr>
                <m:e>
                  <m:r>
                    <w:rPr>
                      <w:rFonts w:ascii="Cambria Math" w:hAnsi="Cambria Math"/>
                    </w:rPr>
                    <m:t>z</m:t>
                  </m:r>
                </m:e>
              </m:d>
            </m:num>
            <m:den>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den>
          </m:f>
          <m:sSub>
            <m:sSubPr>
              <m:ctrlPr>
                <w:rPr>
                  <w:rFonts w:ascii="Cambria Math" w:hAnsi="Cambria Math"/>
                </w:rPr>
              </m:ctrlPr>
            </m:sSubPr>
            <m:e>
              <m:r>
                <w:rPr>
                  <w:rFonts w:ascii="Cambria Math" w:hAnsi="Cambria Math"/>
                </w:rPr>
                <m:t>Y</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χ</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d>
                        <m:dPr>
                          <m:ctrlPr>
                            <w:rPr>
                              <w:rFonts w:ascii="Cambria Math" w:hAnsi="Cambria Math"/>
                            </w:rPr>
                          </m:ctrlPr>
                        </m:dPr>
                        <m:e>
                          <m:r>
                            <w:rPr>
                              <w:rFonts w:ascii="Cambria Math" w:hAnsi="Cambria Math"/>
                            </w:rPr>
                            <m:t>z</m:t>
                          </m:r>
                        </m:e>
                      </m:d>
                    </m:num>
                    <m:den>
                      <m:sSubSup>
                        <m:sSubSupPr>
                          <m:ctrlPr>
                            <w:rPr>
                              <w:rFonts w:ascii="Cambria Math" w:hAnsi="Cambria Math"/>
                            </w:rPr>
                          </m:ctrlPr>
                        </m:sSubSupPr>
                        <m:e>
                          <m:r>
                            <w:rPr>
                              <w:rFonts w:ascii="Cambria Math" w:hAnsi="Cambria Math"/>
                            </w:rPr>
                            <m:t>P</m:t>
                          </m:r>
                        </m:e>
                        <m:sub>
                          <m:r>
                            <w:rPr>
                              <w:rFonts w:ascii="Cambria Math" w:hAnsi="Cambria Math"/>
                            </w:rPr>
                            <m:t>t-1</m:t>
                          </m:r>
                        </m:sub>
                        <m:sup>
                          <m:r>
                            <w:rPr>
                              <w:rFonts w:ascii="Cambria Math" w:hAnsi="Cambria Math"/>
                            </w:rPr>
                            <m:t>c</m:t>
                          </m:r>
                        </m:sup>
                      </m:sSubSup>
                      <m:d>
                        <m:dPr>
                          <m:ctrlPr>
                            <w:rPr>
                              <w:rFonts w:ascii="Cambria Math" w:hAnsi="Cambria Math"/>
                            </w:rPr>
                          </m:ctrlPr>
                        </m:dPr>
                        <m:e>
                          <m:r>
                            <w:rPr>
                              <w:rFonts w:ascii="Cambria Math" w:hAnsi="Cambria Math"/>
                            </w:rPr>
                            <m:t>z</m:t>
                          </m:r>
                        </m:e>
                      </m:d>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π</m:t>
                          </m:r>
                        </m:e>
                      </m:d>
                    </m:e>
                    <m:sup>
                      <m:r>
                        <w:rPr>
                          <w:rFonts w:ascii="Cambria Math" w:hAnsi="Cambria Math"/>
                        </w:rPr>
                        <m:t>1</m:t>
                      </m:r>
                      <m:r>
                        <m:rPr>
                          <m:sty m:val="p"/>
                        </m:rPr>
                        <w:rPr>
                          <w:rFonts w:ascii="Cambria Math" w:hAnsi="Cambria Math"/>
                        </w:rPr>
                        <m:t>-ϖ</m:t>
                      </m:r>
                    </m:sup>
                  </m:sSup>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t-1</m:t>
                                  </m:r>
                                </m:sub>
                                <m:sup>
                                  <m:r>
                                    <w:rPr>
                                      <w:rFonts w:ascii="Cambria Math" w:hAnsi="Cambria Math"/>
                                    </w:rPr>
                                    <m:t>c</m:t>
                                  </m:r>
                                </m:sup>
                              </m:sSubSup>
                            </m:num>
                            <m:den>
                              <m:sSubSup>
                                <m:sSubSupPr>
                                  <m:ctrlPr>
                                    <w:rPr>
                                      <w:rFonts w:ascii="Cambria Math" w:hAnsi="Cambria Math"/>
                                    </w:rPr>
                                  </m:ctrlPr>
                                </m:sSubSupPr>
                                <m:e>
                                  <m:r>
                                    <w:rPr>
                                      <w:rFonts w:ascii="Cambria Math" w:hAnsi="Cambria Math"/>
                                    </w:rPr>
                                    <m:t>P</m:t>
                                  </m:r>
                                </m:e>
                                <m:sub>
                                  <m:r>
                                    <w:rPr>
                                      <w:rFonts w:ascii="Cambria Math" w:hAnsi="Cambria Math"/>
                                    </w:rPr>
                                    <m:t>t-2</m:t>
                                  </m:r>
                                </m:sub>
                                <m:sup>
                                  <m:r>
                                    <w:rPr>
                                      <w:rFonts w:ascii="Cambria Math" w:hAnsi="Cambria Math"/>
                                    </w:rPr>
                                    <m:t>c</m:t>
                                  </m:r>
                                </m:sup>
                              </m:sSubSup>
                            </m:den>
                          </m:f>
                        </m:e>
                      </m:d>
                    </m:e>
                    <m:sup>
                      <m:r>
                        <m:rPr>
                          <m:sty m:val="p"/>
                        </m:rPr>
                        <w:rPr>
                          <w:rFonts w:ascii="Cambria Math" w:hAnsi="Cambria Math"/>
                        </w:rPr>
                        <m:t>ϖ</m:t>
                      </m:r>
                    </m:sup>
                  </m:sSup>
                </m:e>
              </m:d>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t</m:t>
              </m:r>
            </m:sub>
          </m:sSub>
        </m:oMath>
      </m:oMathPara>
    </w:p>
    <w:p w14:paraId="7D6F8F82" w14:textId="77777777" w:rsidR="00174541" w:rsidRDefault="001A66DC" w:rsidP="00EC2E2B">
      <w:pPr>
        <w:pStyle w:val="BodyText"/>
      </w:pPr>
      <w:r w:rsidRPr="00B555B8">
        <w:t xml:space="preserve">and </w:t>
      </w:r>
      <m:oMath>
        <m:r>
          <w:rPr>
            <w:rFonts w:ascii="Cambria Math" w:hAnsi="Cambria Math"/>
          </w:rPr>
          <m:t>sd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i</m:t>
            </m:r>
          </m:sup>
        </m:sSup>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i</m:t>
                </m:r>
              </m:sub>
            </m:sSub>
          </m:num>
          <m:den>
            <m:sSub>
              <m:sSubPr>
                <m:ctrlPr>
                  <w:rPr>
                    <w:rFonts w:ascii="Cambria Math" w:hAnsi="Cambria Math"/>
                  </w:rPr>
                </m:ctrlPr>
              </m:sSubPr>
              <m:e>
                <m:r>
                  <w:rPr>
                    <w:rFonts w:ascii="Cambria Math" w:hAnsi="Cambria Math"/>
                  </w:rPr>
                  <m:t>λ</m:t>
                </m:r>
              </m:e>
              <m:sub>
                <m:r>
                  <w:rPr>
                    <w:rFonts w:ascii="Cambria Math" w:hAnsi="Cambria Math"/>
                  </w:rPr>
                  <m:t>t</m:t>
                </m:r>
              </m:sub>
            </m:sSub>
          </m:den>
        </m:f>
      </m:oMath>
      <w:r w:rsidR="003C6C18">
        <w:t xml:space="preserve"> is a</w:t>
      </w:r>
      <w:r w:rsidRPr="00B555B8">
        <w:t xml:space="preserve"> stochastic discount factor of </w:t>
      </w:r>
      <w:r w:rsidR="002A535E">
        <w:t>the lenders</w:t>
      </w:r>
      <w:r w:rsidRPr="00B555B8">
        <w:t xml:space="preserve"> (owners of the firm</w:t>
      </w:r>
      <w:r w:rsidR="005A7986">
        <w:t>s</w:t>
      </w:r>
      <w:r w:rsidRPr="00B555B8">
        <w:t>).</w:t>
      </w:r>
      <m:oMath>
        <m:r>
          <w:rPr>
            <w:rFonts w:ascii="Cambria Math" w:hAnsi="Cambria Math"/>
          </w:rPr>
          <m:t xml:space="preserve"> π</m:t>
        </m:r>
      </m:oMath>
      <w:r w:rsidRPr="00B555B8">
        <w:t xml:space="preserve"> is </w:t>
      </w:r>
      <w:r w:rsidR="009B0E94">
        <w:t>the</w:t>
      </w:r>
      <w:r w:rsidRPr="00B555B8">
        <w:t xml:space="preserve"> steady-state inflation rate</w:t>
      </w:r>
      <w:r w:rsidR="00EF4C88">
        <w:t xml:space="preserve"> (excl. rent</w:t>
      </w:r>
      <w:r w:rsidR="001512CC">
        <w:t>als</w:t>
      </w:r>
      <w:r w:rsidR="00EF4C88">
        <w:t>)</w:t>
      </w:r>
      <w:r w:rsidRPr="00B555B8">
        <w:t xml:space="preserve">, </w:t>
      </w:r>
      <m:oMath>
        <m:r>
          <m:rPr>
            <m:sty m:val="p"/>
          </m:rPr>
          <w:rPr>
            <w:rFonts w:ascii="Cambria Math" w:hAnsi="Cambria Math"/>
          </w:rPr>
          <m:t>ϖ</m:t>
        </m:r>
      </m:oMath>
      <w:r w:rsidRPr="00B555B8">
        <w:t xml:space="preserve"> is </w:t>
      </w:r>
      <w:r w:rsidR="009B0E94">
        <w:t>the</w:t>
      </w:r>
      <w:r w:rsidR="009B0E94" w:rsidRPr="00B555B8">
        <w:t xml:space="preserve"> </w:t>
      </w:r>
      <w:r w:rsidRPr="00B555B8">
        <w:t>degree of indexation to past inflation</w:t>
      </w:r>
      <w:r w:rsidR="00EF4C88">
        <w:t xml:space="preserve"> (excl. rent)</w:t>
      </w:r>
      <w:r w:rsidRPr="003C31AE">
        <w:rPr>
          <w:rStyle w:val="FootnoteReference"/>
        </w:rPr>
        <w:footnoteReference w:id="7"/>
      </w:r>
      <w:r w:rsidRPr="00B555B8">
        <w:t xml:space="preserve"> and </w:t>
      </w:r>
      <m:oMath>
        <m:r>
          <w:rPr>
            <w:rFonts w:ascii="Cambria Math" w:hAnsi="Cambria Math"/>
          </w:rPr>
          <m:t>χ</m:t>
        </m:r>
      </m:oMath>
      <w:r w:rsidRPr="00B555B8">
        <w:t xml:space="preserve"> defines the cost associated with chan</w:t>
      </w:r>
      <w:r w:rsidR="00404BC5">
        <w:t>ging the price</w:t>
      </w:r>
      <w:r w:rsidR="00536A52">
        <w:t xml:space="preserve"> and is </w:t>
      </w:r>
      <w:r w:rsidR="009B0E94">
        <w:t xml:space="preserve">the </w:t>
      </w:r>
      <w:r w:rsidR="00536A52">
        <w:t>source for price rigidity</w:t>
      </w:r>
      <w:r w:rsidR="00404BC5">
        <w:t xml:space="preserve">. </w:t>
      </w:r>
      <w:r w:rsidR="00712A71">
        <w:rPr>
          <w:rFonts w:eastAsiaTheme="minorEastAsia"/>
        </w:rPr>
        <w:t xml:space="preserve">The expressions </w:t>
      </w:r>
      <m:oMath>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t</m:t>
            </m:r>
          </m:sub>
        </m:sSub>
        <m:d>
          <m:dPr>
            <m:ctrlPr>
              <w:rPr>
                <w:rFonts w:ascii="Cambria Math" w:hAnsi="Cambria Math"/>
              </w:rPr>
            </m:ctrlPr>
          </m:dPr>
          <m:e>
            <m:r>
              <w:rPr>
                <w:rFonts w:ascii="Cambria Math" w:hAnsi="Cambria Math"/>
              </w:rPr>
              <m:t>z</m:t>
            </m:r>
          </m:e>
        </m:d>
        <m:r>
          <m:rPr>
            <m:sty m:val="p"/>
          </m:rPr>
          <w:rPr>
            <w:rFonts w:ascii="Cambria Math" w:hAnsi="Cambria Math"/>
          </w:rPr>
          <m:t xml:space="preserve"> and </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d>
          <m:dPr>
            <m:ctrlPr>
              <w:rPr>
                <w:rFonts w:ascii="Cambria Math" w:hAnsi="Cambria Math"/>
              </w:rPr>
            </m:ctrlPr>
          </m:dPr>
          <m:e>
            <m:r>
              <w:rPr>
                <w:rFonts w:ascii="Cambria Math" w:hAnsi="Cambria Math"/>
              </w:rPr>
              <m:t>z</m:t>
            </m:r>
          </m:e>
        </m:d>
      </m:oMath>
      <w:r w:rsidR="00540D62">
        <w:t xml:space="preserve"> </w:t>
      </w:r>
      <w:r w:rsidR="00712A71">
        <w:t>represent</w:t>
      </w:r>
      <w:r w:rsidR="001A0197">
        <w:t xml:space="preserve"> the real income of two</w:t>
      </w:r>
      <w:r w:rsidR="00712A71">
        <w:t xml:space="preserve"> distinct</w:t>
      </w:r>
      <w:r w:rsidR="001A0197">
        <w:t xml:space="preserve"> types of workers. </w:t>
      </w:r>
    </w:p>
    <w:p w14:paraId="3BE17C11" w14:textId="77777777" w:rsidR="00174541" w:rsidRPr="00404BC5" w:rsidRDefault="001A66DC" w:rsidP="00EA1B7C">
      <w:pPr>
        <w:pStyle w:val="BodyText"/>
        <w:rPr>
          <w:i/>
          <w:lang w:bidi="he-IL"/>
        </w:rPr>
      </w:pPr>
      <w:bookmarkStart w:id="20" w:name="OLE_LINK40"/>
      <w:r>
        <w:t>The f</w:t>
      </w:r>
      <w:r w:rsidRPr="00A038B4">
        <w:t>irst-order conditions</w:t>
      </w:r>
      <w:bookmarkEnd w:id="20"/>
      <w:r w:rsidRPr="00A038B4">
        <w:t xml:space="preserve"> </w:t>
      </w:r>
      <w:r w:rsidR="00EA1B7C">
        <w:t>with regard to</w:t>
      </w:r>
      <w:r w:rsidRPr="00A038B4">
        <w:t xml:space="preserve"> price </w:t>
      </w: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d>
          <m:dPr>
            <m:ctrlPr>
              <w:rPr>
                <w:rFonts w:ascii="Cambria Math" w:hAnsi="Cambria Math"/>
              </w:rPr>
            </m:ctrlPr>
          </m:dPr>
          <m:e>
            <m:r>
              <w:rPr>
                <w:rFonts w:ascii="Cambria Math" w:hAnsi="Cambria Math"/>
              </w:rPr>
              <m:t>z</m:t>
            </m:r>
          </m:e>
        </m:d>
      </m:oMath>
      <w:r w:rsidR="00404BC5">
        <w:rPr>
          <w:rFonts w:eastAsiaTheme="minorEastAsia"/>
          <w:lang w:bidi="he-IL"/>
        </w:rPr>
        <w:t xml:space="preserve"> yield the Philips curve:</w:t>
      </w:r>
    </w:p>
    <w:p w14:paraId="54616C2B" w14:textId="77777777" w:rsidR="00174541" w:rsidRPr="000F4A0C" w:rsidRDefault="00000000" w:rsidP="00AB4FAB">
      <w:pPr>
        <w:pStyle w:val="BodyText"/>
        <w:rPr>
          <w:rFonts w:ascii="David" w:hAnsi="David"/>
        </w:rPr>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r>
                <w:rPr>
                  <w:rFonts w:ascii="Cambria Math" w:hAnsi="Cambria Math"/>
                </w:rPr>
                <m:t>χ</m:t>
              </m:r>
            </m:num>
            <m:den>
              <m:sSub>
                <m:sSubPr>
                  <m:ctrlPr>
                    <w:rPr>
                      <w:rFonts w:ascii="Cambria Math" w:hAnsi="Cambria Math"/>
                    </w:rPr>
                  </m:ctrlPr>
                </m:sSubPr>
                <m:e>
                  <m:r>
                    <w:rPr>
                      <w:rFonts w:ascii="Cambria Math" w:hAnsi="Cambria Math"/>
                    </w:rPr>
                    <m:t>η</m:t>
                  </m:r>
                </m:e>
                <m:sub>
                  <m:r>
                    <w:rPr>
                      <w:rFonts w:ascii="Cambria Math" w:hAnsi="Cambria Math"/>
                    </w:rPr>
                    <m:t>t</m:t>
                  </m:r>
                </m:sub>
              </m:sSub>
            </m:den>
          </m:f>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c</m:t>
              </m:r>
            </m:sup>
          </m:sSubSup>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c</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π</m:t>
                      </m:r>
                    </m:e>
                  </m:d>
                </m:e>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1-ϖ</m:t>
                      </m:r>
                    </m:sup>
                  </m:sSup>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c</m:t>
                          </m:r>
                        </m:sup>
                      </m:sSubSup>
                    </m:e>
                  </m:d>
                </m:e>
                <m:sup>
                  <m:r>
                    <m:rPr>
                      <m:sty m:val="p"/>
                    </m:rPr>
                    <w:rPr>
                      <w:rFonts w:ascii="Cambria Math" w:hAnsi="Cambria Math"/>
                    </w:rPr>
                    <m:t>ϖ</m:t>
                  </m:r>
                </m:sup>
              </m:sSup>
            </m:e>
          </m:d>
          <m:r>
            <m:rPr>
              <m:sty m:val="p"/>
            </m:rPr>
            <w:rPr>
              <w:rFonts w:ascii="Cambria Math" w:hAnsi="Cambria Math"/>
            </w:rPr>
            <m:t>-</m:t>
          </m:r>
          <m:r>
            <w:rPr>
              <w:rFonts w:ascii="Cambria Math" w:hAnsi="Cambria Math"/>
            </w:rPr>
            <m:t>sd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sub>
          </m:sSub>
          <m:f>
            <m:fPr>
              <m:ctrlPr>
                <w:rPr>
                  <w:rFonts w:ascii="Cambria Math" w:hAnsi="Cambria Math"/>
                </w:rPr>
              </m:ctrlPr>
            </m:fPr>
            <m:num>
              <m:r>
                <w:rPr>
                  <w:rFonts w:ascii="Cambria Math" w:hAnsi="Cambria Math"/>
                </w:rPr>
                <m:t>χ</m:t>
              </m:r>
            </m:num>
            <m:den>
              <m:sSub>
                <m:sSubPr>
                  <m:ctrlPr>
                    <w:rPr>
                      <w:rFonts w:ascii="Cambria Math" w:hAnsi="Cambria Math"/>
                    </w:rPr>
                  </m:ctrlPr>
                </m:sSubPr>
                <m:e>
                  <m:r>
                    <w:rPr>
                      <w:rFonts w:ascii="Cambria Math" w:hAnsi="Cambria Math"/>
                    </w:rPr>
                    <m:t>η</m:t>
                  </m:r>
                </m:e>
                <m:sub>
                  <m:r>
                    <w:rPr>
                      <w:rFonts w:ascii="Cambria Math" w:hAnsi="Cambria Math"/>
                    </w:rPr>
                    <m:t>t</m:t>
                  </m:r>
                </m:sub>
              </m:sSub>
            </m:den>
          </m:f>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c</m:t>
              </m:r>
            </m:sup>
          </m:sSubSup>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+1</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c</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π</m:t>
                      </m:r>
                    </m:e>
                  </m:d>
                </m:e>
                <m:sup>
                  <m:sSup>
                    <m:sSupPr>
                      <m:ctrlPr>
                        <w:rPr>
                          <w:rFonts w:ascii="Cambria Math" w:hAnsi="Cambria Math"/>
                        </w:rPr>
                      </m:ctrlPr>
                    </m:sSupPr>
                    <m:e>
                      <m:r>
                        <m:rPr>
                          <m:sty m:val="p"/>
                        </m:rPr>
                        <w:rPr>
                          <w:rFonts w:ascii="Cambria Math" w:hAnsi="Cambria Math"/>
                        </w:rPr>
                        <m:t>​</m:t>
                      </m:r>
                    </m:e>
                    <m:sup>
                      <m:r>
                        <m:rPr>
                          <m:sty m:val="p"/>
                        </m:rPr>
                        <w:rPr>
                          <w:rFonts w:ascii="Cambria Math" w:hAnsi="Cambria Math"/>
                        </w:rPr>
                        <m:t>1-ϖ</m:t>
                      </m:r>
                    </m:sup>
                  </m:sSup>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c</m:t>
                          </m:r>
                        </m:sup>
                      </m:sSubSup>
                    </m:e>
                  </m:d>
                </m:e>
                <m:sup>
                  <m:r>
                    <m:rPr>
                      <m:sty m:val="p"/>
                    </m:rPr>
                    <w:rPr>
                      <w:rFonts w:ascii="Cambria Math" w:hAnsi="Cambria Math"/>
                    </w:rPr>
                    <m:t>ϖ</m:t>
                  </m:r>
                </m:sup>
              </m:sSup>
            </m:e>
          </m:d>
        </m:oMath>
      </m:oMathPara>
    </w:p>
    <w:p w14:paraId="387F9F37" w14:textId="77777777" w:rsidR="00174541" w:rsidRDefault="001A66DC" w:rsidP="005349D7">
      <w:pPr>
        <w:pStyle w:val="BodyText"/>
        <w:rPr>
          <w:rFonts w:eastAsiaTheme="minorEastAsia"/>
        </w:rPr>
      </w:pPr>
      <w:r>
        <w:t>w</w:t>
      </w:r>
      <w:r w:rsidR="00614CEF" w:rsidRPr="000F4A0C">
        <w:t xml:space="preserve">here </w:t>
      </w:r>
      <m:oMath>
        <m:r>
          <w:rPr>
            <w:rFonts w:ascii="Cambria Math" w:hAnsi="Cambria Math"/>
          </w:rPr>
          <m:t>sd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λ</m:t>
                </m:r>
              </m:e>
              <m:sub>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λ</m:t>
                </m:r>
              </m:e>
              <m:sub>
                <m:r>
                  <w:rPr>
                    <w:rFonts w:ascii="Cambria Math" w:hAnsi="Cambria Math"/>
                  </w:rPr>
                  <m:t>t</m:t>
                </m:r>
              </m:sub>
            </m:sSub>
          </m:den>
        </m:f>
      </m:oMath>
      <w:r w:rsidRPr="000F4A0C">
        <w:t xml:space="preserve"> is </w:t>
      </w:r>
      <w:r w:rsidR="00614CEF">
        <w:t>the</w:t>
      </w:r>
      <w:r w:rsidR="00614CEF" w:rsidRPr="000F4A0C">
        <w:t xml:space="preserve"> </w:t>
      </w:r>
      <w:r w:rsidRPr="000F4A0C">
        <w:t>stochastic discount fac</w:t>
      </w:r>
      <w:r w:rsidR="00404BC5">
        <w:t xml:space="preserve">tor of </w:t>
      </w:r>
      <w:r w:rsidR="00030F8D">
        <w:t>the lenders</w:t>
      </w:r>
      <w:r w:rsidR="00404BC5">
        <w:t xml:space="preserve">, and </w:t>
      </w:r>
      <m:oMath>
        <m:sSub>
          <m:sSubPr>
            <m:ctrlPr>
              <w:rPr>
                <w:rFonts w:ascii="Cambria Math" w:hAnsi="Cambria Math"/>
              </w:rPr>
            </m:ctrlPr>
          </m:sSubPr>
          <m:e>
            <m:r>
              <w:rPr>
                <w:rFonts w:ascii="Cambria Math" w:hAnsi="Cambria Math"/>
              </w:rPr>
              <m:t>Γ</m:t>
            </m:r>
          </m:e>
          <m:sub>
            <m:r>
              <w:rPr>
                <w:rFonts w:ascii="Cambria Math" w:hAnsi="Cambria Math"/>
              </w:rPr>
              <m:t>t</m:t>
            </m:r>
          </m:sub>
        </m:sSub>
      </m:oMath>
      <w:r w:rsidR="00404BC5">
        <w:rPr>
          <w:rFonts w:eastAsiaTheme="minorEastAsia"/>
        </w:rPr>
        <w:t xml:space="preserve"> is a marginal cost. </w:t>
      </w:r>
    </w:p>
    <w:p w14:paraId="130BC28C" w14:textId="77777777" w:rsidR="00174541" w:rsidRPr="002F2FB9" w:rsidRDefault="001A66DC" w:rsidP="00F115AA">
      <w:pPr>
        <w:pStyle w:val="BodyText"/>
      </w:pPr>
      <w:r>
        <w:t>The f</w:t>
      </w:r>
      <w:r w:rsidRPr="00A038B4">
        <w:t>irst-order conditions</w:t>
      </w:r>
      <w:r>
        <w:t xml:space="preserve"> </w:t>
      </w:r>
      <w:r w:rsidR="00EA1B7C">
        <w:t>with regard to</w:t>
      </w:r>
      <w:r w:rsidR="002F2FB9" w:rsidRPr="002F2FB9">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d>
          <m:dPr>
            <m:ctrlPr>
              <w:rPr>
                <w:rFonts w:ascii="Cambria Math" w:hAnsi="Cambria Math"/>
              </w:rPr>
            </m:ctrlPr>
          </m:dPr>
          <m:e>
            <m:r>
              <w:rPr>
                <w:rFonts w:ascii="Cambria Math" w:hAnsi="Cambria Math"/>
              </w:rPr>
              <m:t>z</m:t>
            </m:r>
          </m:e>
        </m:d>
      </m:oMath>
      <w:r w:rsidRPr="002F2FB9">
        <w:t xml:space="preserve"> and </w:t>
      </w:r>
      <m:oMath>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d>
          <m:dPr>
            <m:ctrlPr>
              <w:rPr>
                <w:rFonts w:ascii="Cambria Math" w:hAnsi="Cambria Math"/>
              </w:rPr>
            </m:ctrlPr>
          </m:dPr>
          <m:e>
            <m:r>
              <w:rPr>
                <w:rFonts w:ascii="Cambria Math" w:hAnsi="Cambria Math"/>
              </w:rPr>
              <m:t>z</m:t>
            </m:r>
          </m:e>
        </m:d>
      </m:oMath>
      <w:r w:rsidR="0072765A" w:rsidRPr="002F2FB9">
        <w:rPr>
          <w:rFonts w:eastAsiaTheme="minorEastAsia"/>
        </w:rPr>
        <w:t xml:space="preserve"> </w:t>
      </w:r>
      <w:r w:rsidR="00C31352">
        <w:rPr>
          <w:rFonts w:eastAsiaTheme="minorEastAsia"/>
        </w:rPr>
        <w:t>yields</w:t>
      </w:r>
      <w:r w:rsidR="00C31352" w:rsidRPr="002F2FB9">
        <w:rPr>
          <w:rFonts w:eastAsiaTheme="minorEastAsia"/>
        </w:rPr>
        <w:t xml:space="preserve"> </w:t>
      </w:r>
      <w:r w:rsidR="0072765A" w:rsidRPr="002F2FB9">
        <w:rPr>
          <w:rFonts w:eastAsiaTheme="minorEastAsia"/>
        </w:rPr>
        <w:t>(see</w:t>
      </w:r>
      <w:r w:rsidR="00243D2F">
        <w:rPr>
          <w:rFonts w:eastAsiaTheme="minorEastAsia"/>
        </w:rPr>
        <w:t xml:space="preserve"> the</w:t>
      </w:r>
      <w:r w:rsidR="0072765A" w:rsidRPr="002F2FB9">
        <w:rPr>
          <w:rFonts w:eastAsiaTheme="minorEastAsia"/>
        </w:rPr>
        <w:t xml:space="preserve"> </w:t>
      </w:r>
      <w:r w:rsidR="00243D2F">
        <w:rPr>
          <w:rFonts w:eastAsiaTheme="minorEastAsia"/>
        </w:rPr>
        <w:t>T</w:t>
      </w:r>
      <w:r w:rsidR="00F115AA">
        <w:rPr>
          <w:rFonts w:eastAsiaTheme="minorEastAsia"/>
        </w:rPr>
        <w:t xml:space="preserve">echnical </w:t>
      </w:r>
      <w:r w:rsidR="0072765A" w:rsidRPr="002F2FB9">
        <w:rPr>
          <w:rFonts w:eastAsiaTheme="minorEastAsia"/>
        </w:rPr>
        <w:t>Appendix</w:t>
      </w:r>
      <w:r w:rsidR="00C31352">
        <w:t xml:space="preserve"> in the supplementary materials</w:t>
      </w:r>
      <w:r w:rsidR="00C31352" w:rsidRPr="002F2FB9">
        <w:rPr>
          <w:rFonts w:eastAsiaTheme="minorEastAsia"/>
        </w:rPr>
        <w:t xml:space="preserve"> </w:t>
      </w:r>
      <w:r w:rsidR="0072765A" w:rsidRPr="002F2FB9">
        <w:rPr>
          <w:rFonts w:eastAsiaTheme="minorEastAsia"/>
        </w:rPr>
        <w:t>for details):</w:t>
      </w:r>
    </w:p>
    <w:p w14:paraId="453325DD" w14:textId="77777777" w:rsidR="00174541" w:rsidRDefault="00000000" w:rsidP="005349D7">
      <w:pPr>
        <w:pStyle w:val="BodyTex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t</m:t>
                  </m:r>
                </m:sub>
              </m:sSub>
            </m:num>
            <m:den>
              <m:r>
                <w:rPr>
                  <w:rFonts w:ascii="Cambria Math" w:hAnsi="Cambria Math"/>
                </w:rPr>
                <m:t>τ</m:t>
              </m:r>
              <m:sSub>
                <m:sSubPr>
                  <m:ctrlPr>
                    <w:rPr>
                      <w:rFonts w:ascii="Cambria Math" w:hAnsi="Cambria Math"/>
                    </w:rPr>
                  </m:ctrlPr>
                </m:sSubPr>
                <m:e>
                  <m:r>
                    <w:rPr>
                      <w:rFonts w:ascii="Cambria Math" w:hAnsi="Cambria Math"/>
                    </w:rPr>
                    <m:t>Y</m:t>
                  </m:r>
                </m:e>
                <m:sub>
                  <m:r>
                    <w:rPr>
                      <w:rFonts w:ascii="Cambria Math" w:hAnsi="Cambria Math"/>
                    </w:rPr>
                    <m:t>t</m:t>
                  </m:r>
                </m:sub>
              </m:sSub>
            </m:den>
          </m:f>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m:t>
                  </m:r>
                </m:sup>
              </m:sSubSup>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τ</m:t>
                  </m:r>
                </m:e>
              </m:d>
              <m:sSub>
                <m:sSubPr>
                  <m:ctrlPr>
                    <w:rPr>
                      <w:rFonts w:ascii="Cambria Math" w:hAnsi="Cambria Math"/>
                    </w:rPr>
                  </m:ctrlPr>
                </m:sSubPr>
                <m:e>
                  <m:r>
                    <w:rPr>
                      <w:rFonts w:ascii="Cambria Math" w:hAnsi="Cambria Math"/>
                    </w:rPr>
                    <m:t>Y</m:t>
                  </m:r>
                </m:e>
                <m:sub>
                  <m:r>
                    <w:rPr>
                      <w:rFonts w:ascii="Cambria Math" w:hAnsi="Cambria Math"/>
                    </w:rPr>
                    <m:t>t</m:t>
                  </m:r>
                </m:sub>
              </m:sSub>
            </m:den>
          </m:f>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oMath>
      </m:oMathPara>
    </w:p>
    <w:p w14:paraId="5640612E" w14:textId="77777777" w:rsidR="001F61B5" w:rsidRPr="001F61B5" w:rsidRDefault="001A66DC" w:rsidP="005349D7">
      <w:pPr>
        <w:pStyle w:val="BodyText"/>
      </w:pPr>
      <w:r>
        <w:t xml:space="preserve">Dividends are transferred to </w:t>
      </w:r>
      <w:r w:rsidR="0032421C">
        <w:t>the lenders</w:t>
      </w:r>
      <w:r>
        <w:t>:</w:t>
      </w:r>
    </w:p>
    <w:p w14:paraId="7EDD1000" w14:textId="77777777" w:rsidR="00174541" w:rsidRPr="00A038B4" w:rsidRDefault="001A66DC" w:rsidP="005349D7">
      <w:pPr>
        <w:pStyle w:val="BodyText"/>
        <w:rPr>
          <w:rFonts w:ascii="David" w:hAnsi="David"/>
        </w:rPr>
      </w:pPr>
      <m:oMathPara>
        <m:oMathParaPr>
          <m:jc m:val="center"/>
        </m:oMathParaPr>
        <m:oMath>
          <m:r>
            <w:rPr>
              <w:rFonts w:ascii="Cambria Math" w:hAnsi="Cambria Math"/>
            </w:rPr>
            <m:t>Di</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N</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χ</m:t>
              </m:r>
            </m:num>
            <m:den>
              <m:r>
                <m:rPr>
                  <m:sty m:val="p"/>
                </m:rPr>
                <w:rPr>
                  <w:rFonts w:ascii="Cambria Math" w:hAnsi="Cambria Math"/>
                </w:rPr>
                <m:t>2</m:t>
              </m:r>
            </m:den>
          </m:f>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c</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π</m:t>
                          </m:r>
                        </m:e>
                      </m:d>
                    </m:e>
                    <m:sup>
                      <m:r>
                        <m:rPr>
                          <m:sty m:val="p"/>
                        </m:rPr>
                        <w:rPr>
                          <w:rFonts w:ascii="Cambria Math" w:hAnsi="Cambria Math"/>
                        </w:rPr>
                        <m:t>1-ϖ</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c</m:t>
                              </m:r>
                            </m:sup>
                          </m:sSubSup>
                        </m:e>
                      </m:d>
                    </m:e>
                    <m:sup>
                      <m:r>
                        <m:rPr>
                          <m:sty m:val="p"/>
                        </m:rPr>
                        <w:rPr>
                          <w:rFonts w:ascii="Cambria Math" w:hAnsi="Cambria Math"/>
                        </w:rPr>
                        <m:t>ϖ</m:t>
                      </m:r>
                    </m:sup>
                  </m:sSup>
                </m:e>
              </m:d>
            </m:e>
            <m:sup>
              <m:r>
                <m:rPr>
                  <m:sty m:val="p"/>
                </m:rP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t</m:t>
              </m:r>
            </m:sub>
          </m:sSub>
        </m:oMath>
      </m:oMathPara>
    </w:p>
    <w:p w14:paraId="01BBDE98" w14:textId="77777777" w:rsidR="00E86CC5" w:rsidRPr="00441EC7" w:rsidRDefault="001A66DC" w:rsidP="00426E3A">
      <w:pPr>
        <w:pStyle w:val="Heading2"/>
      </w:pPr>
      <w:bookmarkStart w:id="21" w:name="commercial-banks-intermediates"/>
      <w:r w:rsidRPr="00B42378">
        <w:t>Commercial B</w:t>
      </w:r>
      <w:r w:rsidRPr="00441EC7">
        <w:t xml:space="preserve">anks (intermediates) </w:t>
      </w:r>
      <w:bookmarkStart w:id="22" w:name="Sec:_intermediates"/>
      <w:bookmarkEnd w:id="22"/>
    </w:p>
    <w:p w14:paraId="1F5713CF" w14:textId="77777777" w:rsidR="00FD6BEC" w:rsidRDefault="001A66DC" w:rsidP="00FD6BEC">
      <w:pPr>
        <w:pStyle w:val="BodyText"/>
      </w:pPr>
      <w:r>
        <w:t>Commercial banks act as intermediaries, accepting deposits from lenders and extending loans to borrowers. The banks place these deposits with the central bank, earning the announced interest rate (see Section</w:t>
      </w:r>
      <w:r>
        <w:rPr>
          <w:rFonts w:ascii="Times New Roman" w:hAnsi="Times New Roman" w:cs="Times New Roman"/>
        </w:rPr>
        <w:t> </w:t>
      </w:r>
      <w:r>
        <w:t>4.7).</w:t>
      </w:r>
    </w:p>
    <w:p w14:paraId="6A9FB494" w14:textId="77777777" w:rsidR="00FD6BEC" w:rsidRDefault="001A66DC" w:rsidP="00FD6BEC">
      <w:pPr>
        <w:pStyle w:val="BodyText"/>
      </w:pPr>
      <w:r>
        <w:lastRenderedPageBreak/>
        <w:t>Their budget constraint is given by</w:t>
      </w:r>
      <w:r w:rsidRPr="003C31AE">
        <w:rPr>
          <w:rStyle w:val="FootnoteReference"/>
        </w:rPr>
        <w:footnoteReference w:id="8"/>
      </w:r>
      <w:r>
        <w:t>:</w:t>
      </w:r>
    </w:p>
    <w:p w14:paraId="0BDF9472" w14:textId="0C5675AB" w:rsidR="00FD6BEC" w:rsidRPr="00D3361F" w:rsidRDefault="00000000" w:rsidP="00341CCA">
      <w:pPr>
        <w:pStyle w:val="BodyText"/>
        <w:rPr>
          <w:rFonts w:eastAsiaTheme="minorEastAsia"/>
        </w:rPr>
      </w:pPr>
      <m:oMathPara>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sSubSup>
            <m:sSubSupPr>
              <m:ctrlPr>
                <w:rPr>
                  <w:rFonts w:ascii="Cambria Math" w:hAnsi="Cambria Math"/>
                </w:rPr>
              </m:ctrlPr>
            </m:sSubSupPr>
            <m:e>
              <m:r>
                <w:rPr>
                  <w:rFonts w:ascii="Cambria Math" w:hAnsi="Cambria Math"/>
                </w:rPr>
                <m:t>B</m:t>
              </m:r>
            </m:e>
            <m:sub>
              <m:r>
                <w:rPr>
                  <w:rFonts w:ascii="Cambria Math" w:hAnsi="Cambria Math"/>
                </w:rPr>
                <m:t>t</m:t>
              </m:r>
              <m:r>
                <m:rPr>
                  <m:sty m:val="p"/>
                </m:rPr>
                <w:rPr>
                  <w:rFonts w:ascii="Cambria Math" w:hAnsi="Cambria Math"/>
                </w:rPr>
                <m:t>-1</m:t>
              </m:r>
            </m:sub>
            <m:sup>
              <m:r>
                <w:rPr>
                  <w:rFonts w:ascii="Cambria Math" w:hAnsi="Cambria Math"/>
                </w:rPr>
                <m:t>'</m:t>
              </m:r>
            </m:sup>
          </m:sSubSup>
          <m:r>
            <w:rPr>
              <w:rFonts w:ascii="Cambria Math" w:eastAsiaTheme="minorEastAsia" w:hAnsi="Cambria Math"/>
            </w:rPr>
            <m:t>+</m:t>
          </m:r>
          <m:sSubSup>
            <m:sSubSupPr>
              <m:ctrlPr>
                <w:rPr>
                  <w:rFonts w:ascii="Cambria Math" w:hAnsi="Cambria Math"/>
                </w:rPr>
              </m:ctrlPr>
            </m:sSubSupPr>
            <m:e>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w:rPr>
                      <w:rFonts w:ascii="Cambria Math" w:hAnsi="Cambria Math"/>
                    </w:rPr>
                    <m:t>L</m:t>
                  </m:r>
                </m:sup>
              </m:sSubSup>
              <m:r>
                <w:rPr>
                  <w:rFonts w:ascii="Cambria Math" w:hAnsi="Cambria Math"/>
                </w:rPr>
                <m:t>B</m:t>
              </m:r>
            </m:e>
            <m:sub>
              <m:r>
                <w:rPr>
                  <w:rFonts w:ascii="Cambria Math" w:hAnsi="Cambria Math"/>
                </w:rPr>
                <m:t>t</m:t>
              </m:r>
              <m:r>
                <m:rPr>
                  <m:sty m:val="p"/>
                </m:rPr>
                <w:rPr>
                  <w:rFonts w:ascii="Cambria Math" w:hAnsi="Cambria Math"/>
                </w:rPr>
                <m:t>-1</m:t>
              </m:r>
            </m:sub>
            <m:sup>
              <m:r>
                <m:rPr>
                  <m:sty m:val="p"/>
                </m:rPr>
                <w:rPr>
                  <w:rFonts w:ascii="Cambria Math" w:hAnsi="Cambria Math"/>
                </w:rPr>
                <m:t>'</m:t>
              </m:r>
            </m:sup>
          </m:sSubSup>
          <m:r>
            <w:rPr>
              <w:rFonts w:ascii="Cambria Math" w:eastAsiaTheme="minorEastAsia"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m:t>
              </m:r>
            </m:sup>
          </m:sSubSup>
          <m:r>
            <w:rPr>
              <w:rFonts w:ascii="Cambria Math" w:eastAsiaTheme="minorEastAsia" w:hAnsi="Cambria Math"/>
            </w:rPr>
            <m:t>+</m:t>
          </m:r>
          <m:sSubSup>
            <m:sSubSupPr>
              <m:ctrlPr>
                <w:rPr>
                  <w:rFonts w:ascii="Cambria Math" w:hAnsi="Cambria Math"/>
                </w:rPr>
              </m:ctrlPr>
            </m:sSubSup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r>
                <w:rPr>
                  <w:rFonts w:ascii="Cambria Math" w:hAnsi="Cambria Math"/>
                </w:rPr>
                <m:t>B</m:t>
              </m:r>
            </m:e>
            <m:sub>
              <m:r>
                <w:rPr>
                  <w:rFonts w:ascii="Cambria Math" w:hAnsi="Cambria Math"/>
                </w:rPr>
                <m:t>t</m:t>
              </m:r>
              <m:r>
                <m:rPr>
                  <m:sty m:val="p"/>
                </m:rPr>
                <w:rPr>
                  <w:rFonts w:ascii="Cambria Math" w:hAnsi="Cambria Math"/>
                </w:rPr>
                <m:t>-1</m:t>
              </m:r>
            </m:sub>
            <m:sup>
              <m:r>
                <m:rPr>
                  <m:sty m:val="p"/>
                </m:rPr>
                <w:rPr>
                  <w:rFonts w:ascii="Cambria Math" w:hAnsi="Cambria Math"/>
                </w:rPr>
                <m:t>'</m:t>
              </m:r>
            </m:sup>
          </m:sSubSup>
          <m:r>
            <w:rPr>
              <w:rFonts w:ascii="Cambria Math" w:eastAsiaTheme="minorEastAsia" w:hAnsi="Cambria Math"/>
            </w:rPr>
            <m:t>+</m:t>
          </m:r>
          <m:r>
            <w:rPr>
              <w:rFonts w:ascii="Cambria Math" w:hAnsi="Cambria Math"/>
            </w:rPr>
            <m:t>Di</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b</m:t>
              </m:r>
            </m:sup>
          </m:sSubSup>
        </m:oMath>
      </m:oMathPara>
    </w:p>
    <w:p w14:paraId="1B4E8480" w14:textId="77777777" w:rsidR="00FD6BEC" w:rsidRDefault="001A66DC" w:rsidP="00FD6BEC">
      <w:pPr>
        <w:pStyle w:val="BodyText"/>
      </w:pPr>
      <w:r>
        <w:t>where the left-hand side represents income from deposits at the central bank and from loans to borrowers, while the right-hand side represents interest payments to lenders and deposits at the central bank.</w:t>
      </w:r>
    </w:p>
    <w:p w14:paraId="2E3DE6FC" w14:textId="77777777" w:rsidR="00FD6BEC" w:rsidRDefault="001A66DC" w:rsidP="00FD6BEC">
      <w:pPr>
        <w:pStyle w:val="BodyText"/>
      </w:pPr>
      <w:r>
        <w:t>We define profits as:</w:t>
      </w:r>
    </w:p>
    <w:p w14:paraId="17D32C23" w14:textId="6BECCDA0" w:rsidR="00FD6BEC" w:rsidRPr="00D3361F" w:rsidRDefault="00000000" w:rsidP="003A3F05">
      <w:pPr>
        <w:pStyle w:val="BodyText"/>
        <w:rPr>
          <w:rFonts w:eastAsiaTheme="minorEastAsia"/>
        </w:rPr>
      </w:pPr>
      <m:oMathPara>
        <m:oMath>
          <m:sSubSup>
            <m:sSubSupPr>
              <m:ctrlPr>
                <w:rPr>
                  <w:rFonts w:ascii="Cambria Math" w:hAnsi="Cambria Math"/>
                </w:rPr>
              </m:ctrlPr>
            </m:sSubSupPr>
            <m:e>
              <m:r>
                <w:rPr>
                  <w:rFonts w:ascii="Cambria Math" w:hAnsi="Cambria Math"/>
                </w:rPr>
                <m:t>Di</m:t>
              </m:r>
              <m:sSubSup>
                <m:sSubSupPr>
                  <m:ctrlPr>
                    <w:rPr>
                      <w:rFonts w:ascii="Cambria Math" w:hAnsi="Cambria Math"/>
                    </w:rPr>
                  </m:ctrlPr>
                </m:sSubSupPr>
                <m:e>
                  <m:r>
                    <w:rPr>
                      <w:rFonts w:ascii="Cambria Math" w:hAnsi="Cambria Math"/>
                    </w:rPr>
                    <m:t>v</m:t>
                  </m:r>
                </m:e>
                <m:sub>
                  <m:r>
                    <w:rPr>
                      <w:rFonts w:ascii="Cambria Math" w:hAnsi="Cambria Math"/>
                    </w:rPr>
                    <m:t>t</m:t>
                  </m:r>
                </m:sub>
                <m:sup>
                  <m:r>
                    <w:rPr>
                      <w:rFonts w:ascii="Cambria Math" w:hAnsi="Cambria Math"/>
                    </w:rPr>
                    <m:t>b</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r>
                <w:rPr>
                  <w:rFonts w:ascii="Cambria Math" w:hAnsi="Cambria Math"/>
                </w:rPr>
                <m:t>B</m:t>
              </m:r>
            </m:e>
            <m:sub>
              <m:r>
                <w:rPr>
                  <w:rFonts w:ascii="Cambria Math" w:hAnsi="Cambria Math"/>
                </w:rPr>
                <m:t>t</m:t>
              </m:r>
              <m:r>
                <m:rPr>
                  <m:sty m:val="p"/>
                </m:rPr>
                <w:rPr>
                  <w:rFonts w:ascii="Cambria Math" w:hAnsi="Cambria Math"/>
                </w:rPr>
                <m:t>-1</m:t>
              </m:r>
            </m:sub>
            <m:sup>
              <m:r>
                <w:rPr>
                  <w:rFonts w:ascii="Cambria Math" w:hAnsi="Cambria Math"/>
                </w:rPr>
                <m:t>'</m:t>
              </m:r>
            </m:sup>
          </m:sSubSup>
          <m:r>
            <w:rPr>
              <w:rFonts w:ascii="Cambria Math" w:eastAsiaTheme="minorEastAsia"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m:t>
              </m:r>
            </m:sup>
          </m:sSubSup>
          <m:r>
            <w:rPr>
              <w:rFonts w:ascii="Cambria Math" w:eastAsiaTheme="minorEastAsia"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w:rPr>
                  <w:rFonts w:ascii="Cambria Math" w:hAnsi="Cambria Math"/>
                </w:rPr>
                <m:t>L</m:t>
              </m:r>
            </m:sup>
          </m:sSubSup>
          <m:r>
            <w:rPr>
              <w:rFonts w:ascii="Cambria Math" w:eastAsiaTheme="minorEastAsia" w:hAnsi="Cambria Math"/>
            </w:rPr>
            <m:t>-</m:t>
          </m:r>
          <m:sSubSup>
            <m:sSubSupPr>
              <m:ctrlPr>
                <w:rPr>
                  <w:rFonts w:ascii="Cambria Math" w:hAnsi="Cambria Math"/>
                </w:rPr>
              </m:ctrlPr>
            </m:sSubSupPr>
            <m:e>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-1</m:t>
                  </m:r>
                </m:sub>
              </m:sSub>
              <m:r>
                <w:rPr>
                  <w:rFonts w:ascii="Cambria Math" w:hAnsi="Cambria Math"/>
                </w:rPr>
                <m:t>)B</m:t>
              </m:r>
            </m:e>
            <m:sub>
              <m:r>
                <w:rPr>
                  <w:rFonts w:ascii="Cambria Math" w:hAnsi="Cambria Math"/>
                </w:rPr>
                <m:t>t</m:t>
              </m:r>
              <m:r>
                <m:rPr>
                  <m:sty m:val="p"/>
                </m:rPr>
                <w:rPr>
                  <w:rFonts w:ascii="Cambria Math" w:hAnsi="Cambria Math"/>
                </w:rPr>
                <m:t>-1</m:t>
              </m:r>
            </m:sub>
            <m:sup>
              <m:r>
                <m:rPr>
                  <m:sty m:val="p"/>
                </m:rPr>
                <w:rPr>
                  <w:rFonts w:ascii="Cambria Math" w:hAnsi="Cambria Math"/>
                </w:rPr>
                <m:t>'</m:t>
              </m:r>
            </m:sup>
          </m:sSubSup>
        </m:oMath>
      </m:oMathPara>
    </w:p>
    <w:p w14:paraId="1B510559" w14:textId="77777777" w:rsidR="00FD6BEC" w:rsidRDefault="001A66DC" w:rsidP="00FD6BEC">
      <w:pPr>
        <w:pStyle w:val="BodyText"/>
      </w:pPr>
      <w:r>
        <w:t xml:space="preserve">Profits of commercial banks in period </w:t>
      </w:r>
      <w:r w:rsidRPr="00FD6BEC">
        <w:rPr>
          <w:i/>
          <w:iCs/>
        </w:rPr>
        <w:t>t</w:t>
      </w:r>
      <w:r>
        <w:t xml:space="preserve"> are transferred to lenders, under the assumption that lenders are the sole owners of the commercial banks.</w:t>
      </w:r>
    </w:p>
    <w:bookmarkEnd w:id="21"/>
    <w:p w14:paraId="0E46D784" w14:textId="77777777" w:rsidR="00AA0E39" w:rsidRPr="009310B7" w:rsidRDefault="001A66DC" w:rsidP="00426E3A">
      <w:pPr>
        <w:pStyle w:val="Heading2"/>
      </w:pPr>
      <w:r w:rsidRPr="009310B7">
        <w:t>Monetary policy</w:t>
      </w:r>
    </w:p>
    <w:p w14:paraId="4EC68E90" w14:textId="77777777" w:rsidR="00AA0E39" w:rsidRPr="00CF4E2B" w:rsidRDefault="001A66DC" w:rsidP="00B42378">
      <w:pPr>
        <w:pStyle w:val="BodyText"/>
      </w:pPr>
      <w:r w:rsidRPr="00CF4E2B">
        <w:t xml:space="preserve">The </w:t>
      </w:r>
      <w:r w:rsidR="00B42378">
        <w:t xml:space="preserve">central bank’s </w:t>
      </w:r>
      <w:r w:rsidRPr="00CF4E2B">
        <w:t xml:space="preserve">monetary policy </w:t>
      </w:r>
      <w:r w:rsidR="00356C34" w:rsidRPr="00CF4E2B">
        <w:t>follows</w:t>
      </w:r>
      <w:r w:rsidRPr="00CF4E2B">
        <w:t xml:space="preserve"> a Taylor-type rule</w:t>
      </w:r>
      <w:r w:rsidR="00356C34" w:rsidRPr="00CF4E2B">
        <w:t>:</w:t>
      </w:r>
    </w:p>
    <w:p w14:paraId="3257F937" w14:textId="626D2F1F" w:rsidR="00AA0E39" w:rsidRPr="00CF4E2B" w:rsidRDefault="00000000" w:rsidP="005349D7">
      <w:pPr>
        <w:pStyle w:val="BodyText"/>
        <w:rPr>
          <w:rFonts w:asciiTheme="majorHAnsi" w:hAnsiTheme="majorHAnsi"/>
        </w:rPr>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CB</m:t>
              </m:r>
            </m:sup>
          </m:sSubSup>
          <m:r>
            <m:rPr>
              <m:sty m:val="p"/>
            </m:rPr>
            <w:rPr>
              <w:rFonts w:ascii="Cambria Math" w:hAnsi="Cambria Math"/>
            </w:rPr>
            <m:t>=</m:t>
          </m:r>
          <m:r>
            <w:rPr>
              <w:rFonts w:ascii="Cambria Math" w:hAnsi="Cambria Math"/>
            </w:rPr>
            <m:t>ρ</m:t>
          </m:r>
          <m:sSubSup>
            <m:sSubSupPr>
              <m:ctrlPr>
                <w:rPr>
                  <w:rFonts w:ascii="Cambria Math" w:hAnsi="Cambria Math"/>
                </w:rPr>
              </m:ctrlPr>
            </m:sSubSupPr>
            <m:e>
              <m:r>
                <w:rPr>
                  <w:rFonts w:ascii="Cambria Math" w:hAnsi="Cambria Math"/>
                </w:rPr>
                <m:t>r</m:t>
              </m:r>
            </m:e>
            <m:sub>
              <m:r>
                <w:rPr>
                  <w:rFonts w:ascii="Cambria Math" w:hAnsi="Cambria Math"/>
                </w:rPr>
                <m:t>t</m:t>
              </m:r>
              <m:r>
                <m:rPr>
                  <m:sty m:val="p"/>
                </m:rPr>
                <w:rPr>
                  <w:rFonts w:ascii="Cambria Math" w:hAnsi="Cambria Math"/>
                </w:rPr>
                <m:t>-1</m:t>
              </m:r>
            </m:sub>
            <m:sup>
              <m:r>
                <w:rPr>
                  <w:rFonts w:ascii="Cambria Math" w:hAnsi="Cambria Math"/>
                </w:rPr>
                <m:t>CB</m:t>
              </m:r>
            </m:sup>
          </m:sSubSup>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ρ</m:t>
              </m:r>
            </m:e>
          </m:d>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CB</m:t>
                  </m:r>
                </m:sup>
              </m:sSup>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π</m:t>
                  </m:r>
                </m:e>
              </m:d>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CB</m:t>
              </m:r>
            </m:sup>
          </m:sSubSup>
        </m:oMath>
      </m:oMathPara>
    </w:p>
    <w:p w14:paraId="740070B8" w14:textId="03B1B97D" w:rsidR="00725B6F" w:rsidRDefault="001A66DC" w:rsidP="00176D51">
      <w:pPr>
        <w:pStyle w:val="BodyText"/>
      </w:pPr>
      <w:r>
        <w:t>w</w:t>
      </w:r>
      <w:r w:rsidRPr="00CF4E2B">
        <w:t>here</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CB</m:t>
            </m:r>
          </m:sup>
        </m:sSubSup>
      </m:oMath>
      <w:r w:rsidRPr="00CF4E2B">
        <w:t xml:space="preserve"> </w:t>
      </w:r>
      <w:r w:rsidR="00176D51">
        <w:t>is a nominal interest rate of the central bank,</w:t>
      </w:r>
      <m:oMath>
        <m:r>
          <w:rPr>
            <w:rFonts w:ascii="Cambria Math" w:hAnsi="Cambria Math"/>
          </w:rPr>
          <m:t xml:space="preserve">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δπ</m:t>
            </m:r>
          </m:e>
          <m:sub>
            <m:r>
              <w:rPr>
                <w:rFonts w:ascii="Cambria Math" w:hAnsi="Cambria Math"/>
              </w:rPr>
              <m:t>t</m:t>
            </m:r>
          </m:sub>
          <m:sup>
            <m:r>
              <w:rPr>
                <w:rFonts w:ascii="Cambria Math" w:hAnsi="Cambria Math"/>
              </w:rPr>
              <m:t>r</m:t>
            </m:r>
          </m:sup>
        </m:sSubSup>
        <m:r>
          <w:rPr>
            <w:rFonts w:ascii="Cambria Math" w:hAnsi="Cambria Math"/>
          </w:rPr>
          <m:t>+</m:t>
        </m:r>
        <m:sSubSup>
          <m:sSubSupPr>
            <m:ctrlPr>
              <w:rPr>
                <w:rFonts w:ascii="Cambria Math" w:hAnsi="Cambria Math"/>
                <w:i/>
              </w:rPr>
            </m:ctrlPr>
          </m:sSubSupPr>
          <m:e>
            <m:d>
              <m:dPr>
                <m:ctrlPr>
                  <w:rPr>
                    <w:rFonts w:ascii="Cambria Math" w:hAnsi="Cambria Math"/>
                    <w:i/>
                  </w:rPr>
                </m:ctrlPr>
              </m:dPr>
              <m:e>
                <m:r>
                  <w:rPr>
                    <w:rFonts w:ascii="Cambria Math" w:hAnsi="Cambria Math"/>
                  </w:rPr>
                  <m:t>1-δ</m:t>
                </m:r>
              </m:e>
            </m:d>
            <m:r>
              <w:rPr>
                <w:rFonts w:ascii="Cambria Math" w:hAnsi="Cambria Math"/>
              </w:rPr>
              <m:t>π</m:t>
            </m:r>
          </m:e>
          <m:sub>
            <m:r>
              <w:rPr>
                <w:rFonts w:ascii="Cambria Math" w:hAnsi="Cambria Math"/>
              </w:rPr>
              <m:t>t</m:t>
            </m:r>
          </m:sub>
          <m:sup>
            <m:r>
              <w:rPr>
                <w:rFonts w:ascii="Cambria Math" w:hAnsi="Cambria Math"/>
              </w:rPr>
              <m:t>C</m:t>
            </m:r>
          </m:sup>
        </m:sSubSup>
      </m:oMath>
      <w:r w:rsidRPr="00CF4E2B">
        <w:t xml:space="preserve"> is the CPI inflation, calculated as the weighted average of </w:t>
      </w:r>
      <w:r w:rsidR="00EB6E6B">
        <w:t xml:space="preserve">the </w:t>
      </w:r>
      <w:r w:rsidRPr="00CF4E2B">
        <w:t>inflation</w:t>
      </w:r>
      <w:r w:rsidR="000E336F" w:rsidRPr="00CF4E2B">
        <w:t xml:space="preserve"> of rent</w:t>
      </w:r>
      <w:r w:rsidR="00B42378">
        <w:t>al</w:t>
      </w:r>
      <w:r w:rsidR="000E336F" w:rsidRPr="00CF4E2B">
        <w:t xml:space="preserve"> </w:t>
      </w:r>
      <w:r w:rsidR="00951248" w:rsidRPr="00CF4E2B">
        <w:t>dwelling</w:t>
      </w:r>
      <w:r w:rsidR="00EB6E6B">
        <w:t>s</w:t>
      </w:r>
      <w:r w:rsidRPr="00CF4E2B">
        <w:t xml:space="preserve"> and </w:t>
      </w:r>
      <w:r w:rsidR="00EB6E6B">
        <w:t xml:space="preserve">the </w:t>
      </w:r>
      <w:r w:rsidR="000E336F" w:rsidRPr="00CF4E2B">
        <w:t xml:space="preserve">inflation of </w:t>
      </w:r>
      <w:r w:rsidRPr="00CF4E2B">
        <w:t>CPI</w:t>
      </w:r>
      <w:r w:rsidR="00EB6E6B">
        <w:t xml:space="preserve"> (</w:t>
      </w:r>
      <w:r w:rsidRPr="00CF4E2B">
        <w:t>excl. rent</w:t>
      </w:r>
      <w:r w:rsidR="00EB6E6B">
        <w:t>al</w:t>
      </w:r>
      <w:r w:rsidRPr="00CF4E2B">
        <w:t xml:space="preserve"> </w:t>
      </w:r>
      <w:r w:rsidR="000E336F" w:rsidRPr="00CF4E2B">
        <w:t>dwelling</w:t>
      </w:r>
      <w:r w:rsidR="00EB6E6B">
        <w:t>s)</w:t>
      </w:r>
      <w:r w:rsidRPr="00CF4E2B">
        <w:t xml:space="preserve"> (</w:t>
      </w:r>
      <w:r w:rsidR="00D92238" w:rsidRPr="00CF4E2B">
        <w:t xml:space="preserve">with </w:t>
      </w:r>
      <m:oMath>
        <m:r>
          <w:rPr>
            <w:rFonts w:ascii="Cambria Math" w:hAnsi="Cambria Math"/>
          </w:rPr>
          <m:t>δ</m:t>
        </m:r>
      </m:oMath>
      <w:r w:rsidR="00D92238" w:rsidRPr="00CF4E2B">
        <w:t xml:space="preserve"> being</w:t>
      </w:r>
      <w:r w:rsidRPr="00CF4E2B">
        <w:t xml:space="preserve"> </w:t>
      </w:r>
      <w:r w:rsidR="00D92238" w:rsidRPr="00CF4E2B">
        <w:t>the</w:t>
      </w:r>
      <w:r w:rsidRPr="00CF4E2B">
        <w:t xml:space="preserve"> weight of rent</w:t>
      </w:r>
      <w:r w:rsidR="00EB6E6B">
        <w:t>al</w:t>
      </w:r>
      <w:r w:rsidRPr="00CF4E2B">
        <w:t xml:space="preserve"> </w:t>
      </w:r>
      <w:r w:rsidR="000E336F" w:rsidRPr="00CF4E2B">
        <w:t>dwelling</w:t>
      </w:r>
      <w:r w:rsidR="00EB6E6B">
        <w:t>s</w:t>
      </w:r>
      <w:r w:rsidR="000E336F" w:rsidRPr="00CF4E2B">
        <w:t xml:space="preserve"> </w:t>
      </w:r>
      <w:r w:rsidR="00A626AF" w:rsidRPr="00CF4E2B">
        <w:t xml:space="preserve">in the CPI); </w:t>
      </w: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oMath>
      <w:r w:rsidR="00A626AF" w:rsidRPr="00CF4E2B">
        <w:t xml:space="preserve"> is </w:t>
      </w:r>
      <w:r w:rsidR="00EB6E6B">
        <w:t>the</w:t>
      </w:r>
      <w:r w:rsidR="00EB6E6B" w:rsidRPr="00CF4E2B">
        <w:t xml:space="preserve"> </w:t>
      </w:r>
      <w:r w:rsidR="00A626AF" w:rsidRPr="00CF4E2B">
        <w:t>growth rate of GDP</w:t>
      </w:r>
      <w:r w:rsidR="00860E87" w:rsidRPr="00CF4E2B">
        <w:t xml:space="preserve"> relative to</w:t>
      </w:r>
      <w:r w:rsidR="00B42378">
        <w:t xml:space="preserve"> the</w:t>
      </w:r>
      <w:r w:rsidR="000405F7" w:rsidRPr="00CF4E2B">
        <w:t xml:space="preserve"> growth rate in</w:t>
      </w:r>
      <w:r w:rsidR="00860E87" w:rsidRPr="00CF4E2B">
        <w:t xml:space="preserve"> </w:t>
      </w:r>
      <w:r w:rsidR="00EB6E6B">
        <w:t xml:space="preserve">the </w:t>
      </w:r>
      <w:r w:rsidR="00D92238" w:rsidRPr="00CF4E2B">
        <w:t>steady state</w:t>
      </w:r>
      <w:r w:rsidR="00365B83" w:rsidRPr="00CF4E2B">
        <w:t>;</w:t>
      </w:r>
      <w:r w:rsidR="00B42378">
        <w:t xml:space="preserve"> and</w:t>
      </w:r>
      <w:r w:rsidR="00365B83" w:rsidRPr="00CF4E2B">
        <w:t xml:space="preserve"> </w:t>
      </w:r>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CB</m:t>
            </m:r>
          </m:sup>
        </m:sSubSup>
      </m:oMath>
      <w:r w:rsidR="00365B83" w:rsidRPr="00CF4E2B">
        <w:t xml:space="preserve"> is a monetary shock. </w:t>
      </w:r>
    </w:p>
    <w:p w14:paraId="4FF13675" w14:textId="77777777" w:rsidR="00DE7C0E" w:rsidRDefault="001A66DC" w:rsidP="00DE7C0E">
      <w:pPr>
        <w:pStyle w:val="BodyText"/>
      </w:pPr>
      <w:r w:rsidRPr="00DE7C0E">
        <w:t>The implementation of monetary policy in the model is characterized by the following mechanism:</w:t>
      </w:r>
    </w:p>
    <w:p w14:paraId="73C30AD4" w14:textId="77777777" w:rsidR="00FA4CE1" w:rsidRPr="007C79EB" w:rsidRDefault="00000000" w:rsidP="00EB46AA">
      <w:pPr>
        <w:pStyle w:val="BodyText"/>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t</m:t>
              </m:r>
            </m:sub>
            <m:sup>
              <m:r>
                <w:rPr>
                  <w:rFonts w:ascii="Cambria Math" w:eastAsiaTheme="minorEastAsia" w:hAnsi="Cambria Math"/>
                </w:rPr>
                <m:t>S</m:t>
              </m:r>
            </m:sup>
          </m:sSubSup>
          <m:r>
            <w:rPr>
              <w:rFonts w:ascii="Cambria Math" w:eastAsiaTheme="minorEastAsia" w:hAnsi="Cambria Math"/>
            </w:rPr>
            <m:t>=</m:t>
          </m:r>
          <m:sSubSup>
            <m:sSubSupPr>
              <m:ctrlPr>
                <w:rPr>
                  <w:rFonts w:ascii="Cambria Math" w:hAnsi="Cambria Math"/>
                  <w:i/>
                </w:rPr>
              </m:ctrlPr>
            </m:sSubSupPr>
            <m:e>
              <m:r>
                <w:rPr>
                  <w:rFonts w:ascii="Cambria Math" w:hAnsi="Cambria Math"/>
                </w:rPr>
                <m:t>R</m:t>
              </m:r>
            </m:e>
            <m:sub>
              <m:r>
                <w:rPr>
                  <w:rFonts w:ascii="Cambria Math" w:hAnsi="Cambria Math"/>
                </w:rPr>
                <m:t>t-1</m:t>
              </m:r>
            </m:sub>
            <m:sup>
              <m:r>
                <w:rPr>
                  <w:rFonts w:ascii="Cambria Math" w:hAnsi="Cambria Math"/>
                </w:rPr>
                <m:t>S</m:t>
              </m:r>
            </m:sup>
          </m:sSubSup>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t-1</m:t>
              </m:r>
            </m:sub>
            <m:sup>
              <m:r>
                <w:rPr>
                  <w:rFonts w:ascii="Cambria Math" w:eastAsiaTheme="minorEastAsia" w:hAnsi="Cambria Math"/>
                </w:rPr>
                <m:t>S</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TR</m:t>
              </m:r>
            </m:e>
            <m:sub>
              <m:r>
                <w:rPr>
                  <w:rFonts w:ascii="Cambria Math" w:eastAsiaTheme="minorEastAsia" w:hAnsi="Cambria Math"/>
                </w:rPr>
                <m:t>t</m:t>
              </m:r>
            </m:sub>
          </m:sSub>
          <m:r>
            <w:rPr>
              <w:rFonts w:ascii="Cambria Math" w:eastAsiaTheme="minorEastAsia" w:hAnsi="Cambria Math"/>
            </w:rPr>
            <m:t>,</m:t>
          </m:r>
        </m:oMath>
      </m:oMathPara>
    </w:p>
    <w:p w14:paraId="1C836F8A" w14:textId="77777777" w:rsidR="00AA3B15" w:rsidRDefault="001A66DC" w:rsidP="005F76C9">
      <w:pPr>
        <w:pStyle w:val="BodyText"/>
      </w:pPr>
      <w:r>
        <w:t xml:space="preserve">where </w:t>
      </w:r>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CB</m:t>
            </m:r>
          </m:sup>
        </m:sSubSup>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t+1</m:t>
            </m:r>
          </m:sub>
        </m:sSub>
      </m:oMath>
      <w:r>
        <w:t xml:space="preserve"> and </w:t>
      </w:r>
      <m:oMath>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t</m:t>
            </m:r>
          </m:sub>
          <m:sup>
            <m:r>
              <w:rPr>
                <w:rFonts w:ascii="Cambria Math" w:eastAsiaTheme="minorEastAsia" w:hAnsi="Cambria Math"/>
              </w:rPr>
              <m:t>S</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t</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B</m:t>
            </m:r>
          </m:e>
          <m:sub>
            <m:r>
              <w:rPr>
                <w:rFonts w:ascii="Cambria Math" w:eastAsiaTheme="minorEastAsia" w:hAnsi="Cambria Math"/>
              </w:rPr>
              <m:t>t</m:t>
            </m:r>
          </m:sub>
          <m:sup>
            <m:r>
              <w:rPr>
                <w:rFonts w:ascii="Cambria Math" w:eastAsiaTheme="minorEastAsia" w:hAnsi="Cambria Math"/>
              </w:rPr>
              <m:t>'</m:t>
            </m:r>
          </m:sup>
        </m:sSubSup>
      </m:oMath>
      <w:r>
        <w:t xml:space="preserve">. </w:t>
      </w:r>
    </w:p>
    <w:p w14:paraId="795AB2CF" w14:textId="77777777" w:rsidR="00FA4CE1" w:rsidRDefault="001A66DC" w:rsidP="00041263">
      <w:pPr>
        <w:pStyle w:val="BodyText"/>
      </w:pPr>
      <w:r w:rsidRPr="00041263">
        <w:t xml:space="preserve">In this framework, the central bank supplies deposits in the amount demanded by commercial banks and pays interest on these deposits </w:t>
      </w:r>
      <w:r w:rsidR="00E67C86">
        <w:t xml:space="preserve">exactly </w:t>
      </w:r>
      <w:r w:rsidRPr="00041263">
        <w:t>at the announced policy rate.</w:t>
      </w:r>
      <w:r>
        <w:t xml:space="preserve"> Any resulting profits or losses </w:t>
      </w:r>
      <w:r w:rsidR="00E67C86">
        <w:t xml:space="preserve">of the central bank </w:t>
      </w:r>
      <w:r>
        <w:t xml:space="preserve">are transferred </w:t>
      </w:r>
      <w:r w:rsidR="00E67C86">
        <w:t xml:space="preserve">eventually </w:t>
      </w:r>
      <w:r>
        <w:t>to the lenders.</w:t>
      </w:r>
    </w:p>
    <w:p w14:paraId="278A9973" w14:textId="77777777" w:rsidR="00CA77FD" w:rsidRPr="00A45F0A" w:rsidRDefault="001A66DC" w:rsidP="00CA77FD">
      <w:pPr>
        <w:pStyle w:val="Heading2"/>
      </w:pPr>
      <w:r>
        <w:t>M</w:t>
      </w:r>
      <w:r w:rsidRPr="00A45F0A">
        <w:t>arket clearing</w:t>
      </w:r>
      <w:r>
        <w:t xml:space="preserve"> </w:t>
      </w:r>
    </w:p>
    <w:p w14:paraId="0B2D9A23" w14:textId="77777777" w:rsidR="00FA6CAE" w:rsidRDefault="001A66DC" w:rsidP="00CA77FD">
      <w:pPr>
        <w:pStyle w:val="BodyText"/>
      </w:pPr>
      <w:r w:rsidRPr="00FA6CAE">
        <w:t>Aggregate consumption, defined as the sum of co</w:t>
      </w:r>
      <w:r>
        <w:t>nsumption by lenders and borrowers</w:t>
      </w:r>
      <w:r w:rsidRPr="00FA6CAE">
        <w:t xml:space="preserve">, is </w:t>
      </w:r>
      <w:r>
        <w:t xml:space="preserve">equal to total output </w:t>
      </w:r>
      <w:r w:rsidRPr="00FA6CAE">
        <w:t xml:space="preserve">net </w:t>
      </w:r>
      <w:r>
        <w:t>of adjustment costs</w:t>
      </w:r>
      <w:r w:rsidRPr="00FA6CAE">
        <w:t>:</w:t>
      </w:r>
    </w:p>
    <w:p w14:paraId="6F7EDD85" w14:textId="38E3C1F4" w:rsidR="00FE602E" w:rsidRPr="005219B0" w:rsidRDefault="00000000" w:rsidP="00FE602E">
      <w:pPr>
        <w:pStyle w:val="BodyText"/>
        <w:rPr>
          <w:i/>
          <w:iCs/>
        </w:rPr>
      </w:pPr>
      <m:oMathPara>
        <m:oMath>
          <m:sSubSup>
            <m:sSubSupPr>
              <m:ctrlPr>
                <w:rPr>
                  <w:rFonts w:ascii="Cambria Math" w:hAnsi="Cambria Math"/>
                  <w:i/>
                  <w:iCs/>
                </w:rPr>
              </m:ctrlPr>
            </m:sSubSupPr>
            <m:e>
              <m:r>
                <w:rPr>
                  <w:rFonts w:ascii="Cambria Math" w:hAnsi="Cambria Math"/>
                </w:rPr>
                <m:t>C</m:t>
              </m:r>
            </m:e>
            <m:sub>
              <m:r>
                <w:rPr>
                  <w:rFonts w:ascii="Cambria Math" w:hAnsi="Cambria Math"/>
                </w:rPr>
                <m:t>t</m:t>
              </m:r>
            </m:sub>
            <m:sup>
              <m:r>
                <w:rPr>
                  <w:rFonts w:ascii="Cambria Math" w:hAnsi="Cambria Math"/>
                </w:rPr>
                <m:t>'</m:t>
              </m:r>
            </m:sup>
          </m:sSubSup>
          <m:r>
            <w:rPr>
              <w:rFonts w:ascii="Cambria Math" w:hAnsi="Cambria Math"/>
            </w:rPr>
            <m:t>+</m:t>
          </m:r>
          <m:sSub>
            <m:sSubPr>
              <m:ctrlPr>
                <w:rPr>
                  <w:rFonts w:ascii="Cambria Math" w:hAnsi="Cambria Math"/>
                  <w:i/>
                  <w:iCs/>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t</m:t>
              </m:r>
            </m:sub>
          </m:sSub>
          <m:d>
            <m:dPr>
              <m:ctrlPr>
                <w:rPr>
                  <w:rFonts w:ascii="Cambria Math" w:hAnsi="Cambria Math"/>
                  <w:i/>
                  <w:iCs/>
                </w:rPr>
              </m:ctrlPr>
            </m:dPr>
            <m:e>
              <m:r>
                <w:rPr>
                  <w:rFonts w:ascii="Cambria Math" w:hAnsi="Cambria Math"/>
                </w:rPr>
                <m:t>1-</m:t>
              </m:r>
              <m:f>
                <m:fPr>
                  <m:ctrlPr>
                    <w:rPr>
                      <w:rFonts w:ascii="Cambria Math" w:hAnsi="Cambria Math"/>
                      <w:i/>
                      <w:iCs/>
                    </w:rPr>
                  </m:ctrlPr>
                </m:fPr>
                <m:num>
                  <m:r>
                    <w:rPr>
                      <w:rFonts w:ascii="Cambria Math" w:hAnsi="Cambria Math"/>
                    </w:rPr>
                    <m:t>χ</m:t>
                  </m:r>
                </m:num>
                <m:den>
                  <m:r>
                    <w:rPr>
                      <w:rFonts w:ascii="Cambria Math" w:hAnsi="Cambria Math"/>
                    </w:rPr>
                    <m:t>2</m:t>
                  </m:r>
                </m:den>
              </m:f>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π</m:t>
                          </m:r>
                        </m:e>
                        <m:sub>
                          <m:r>
                            <w:rPr>
                              <w:rFonts w:ascii="Cambria Math" w:hAnsi="Cambria Math"/>
                            </w:rPr>
                            <m:t>t</m:t>
                          </m:r>
                        </m:sub>
                        <m:sup>
                          <m:r>
                            <w:rPr>
                              <w:rFonts w:ascii="Cambria Math" w:hAnsi="Cambria Math"/>
                            </w:rPr>
                            <m:t>c</m:t>
                          </m:r>
                        </m:sup>
                      </m:sSubSup>
                      <m:r>
                        <w:rPr>
                          <w:rFonts w:ascii="Cambria Math" w:hAnsi="Cambria Math"/>
                        </w:rPr>
                        <m:t>-</m:t>
                      </m:r>
                      <m:sSup>
                        <m:sSupPr>
                          <m:ctrlPr>
                            <w:rPr>
                              <w:rFonts w:ascii="Cambria Math" w:hAnsi="Cambria Math"/>
                              <w:i/>
                              <w:iCs/>
                            </w:rPr>
                          </m:ctrlPr>
                        </m:sSupPr>
                        <m:e>
                          <m:d>
                            <m:dPr>
                              <m:ctrlPr>
                                <w:rPr>
                                  <w:rFonts w:ascii="Cambria Math" w:hAnsi="Cambria Math"/>
                                  <w:i/>
                                  <w:iCs/>
                                </w:rPr>
                              </m:ctrlPr>
                            </m:dPr>
                            <m:e>
                              <m:r>
                                <w:rPr>
                                  <w:rFonts w:ascii="Cambria Math" w:hAnsi="Cambria Math"/>
                                </w:rPr>
                                <m:t>π</m:t>
                              </m:r>
                            </m:e>
                          </m:d>
                        </m:e>
                        <m:sup>
                          <m:r>
                            <w:rPr>
                              <w:rFonts w:ascii="Cambria Math" w:hAnsi="Cambria Math"/>
                            </w:rPr>
                            <m:t>1-ϖ</m:t>
                          </m:r>
                        </m:sup>
                      </m:sSup>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π</m:t>
                                  </m:r>
                                </m:e>
                                <m:sub>
                                  <m:r>
                                    <w:rPr>
                                      <w:rFonts w:ascii="Cambria Math" w:hAnsi="Cambria Math"/>
                                    </w:rPr>
                                    <m:t>t-1</m:t>
                                  </m:r>
                                </m:sub>
                                <m:sup>
                                  <m:r>
                                    <w:rPr>
                                      <w:rFonts w:ascii="Cambria Math" w:hAnsi="Cambria Math"/>
                                    </w:rPr>
                                    <m:t>c</m:t>
                                  </m:r>
                                </m:sup>
                              </m:sSubSup>
                            </m:e>
                          </m:d>
                        </m:e>
                        <m:sup>
                          <m:r>
                            <w:rPr>
                              <w:rFonts w:ascii="Cambria Math" w:hAnsi="Cambria Math"/>
                            </w:rPr>
                            <m:t>ϖ</m:t>
                          </m:r>
                        </m:sup>
                      </m:sSup>
                    </m:e>
                  </m:d>
                </m:e>
                <m:sup>
                  <m:r>
                    <w:rPr>
                      <w:rFonts w:ascii="Cambria Math" w:hAnsi="Cambria Math"/>
                    </w:rPr>
                    <m:t>2</m:t>
                  </m:r>
                </m:sup>
              </m:sSup>
            </m:e>
          </m:d>
          <m:r>
            <w:rPr>
              <w:rFonts w:ascii="Cambria Math" w:hAnsi="Cambria Math"/>
            </w:rPr>
            <m:t>-</m:t>
          </m:r>
          <m:f>
            <m:fPr>
              <m:ctrlPr>
                <w:rPr>
                  <w:rFonts w:ascii="Cambria Math" w:hAnsi="Cambria Math"/>
                  <w:i/>
                  <w:iCs/>
                </w:rPr>
              </m:ctrlPr>
            </m:fPr>
            <m:num>
              <m:r>
                <w:rPr>
                  <w:rFonts w:ascii="Cambria Math" w:hAnsi="Cambria Math"/>
                </w:rPr>
                <m:t>Θ</m:t>
              </m:r>
            </m:num>
            <m:den>
              <m:r>
                <w:rPr>
                  <w:rFonts w:ascii="Cambria Math" w:hAnsi="Cambria Math"/>
                </w:rPr>
                <m:t>2</m:t>
              </m:r>
            </m:den>
          </m:f>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π</m:t>
                      </m:r>
                    </m:e>
                    <m:sub>
                      <m:r>
                        <w:rPr>
                          <w:rFonts w:ascii="Cambria Math" w:hAnsi="Cambria Math"/>
                        </w:rPr>
                        <m:t>t</m:t>
                      </m:r>
                    </m:sub>
                    <m:sup>
                      <m:r>
                        <w:rPr>
                          <w:rFonts w:ascii="Cambria Math" w:hAnsi="Cambria Math"/>
                        </w:rPr>
                        <m:t>rent</m:t>
                      </m:r>
                    </m:sup>
                  </m:sSubSup>
                  <m:r>
                    <w:rPr>
                      <w:rFonts w:ascii="Cambria Math" w:hAnsi="Cambria Math"/>
                    </w:rPr>
                    <m:t>-</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π</m:t>
                              </m:r>
                            </m:e>
                            <m:sup>
                              <m:r>
                                <w:rPr>
                                  <w:rFonts w:ascii="Cambria Math" w:hAnsi="Cambria Math"/>
                                </w:rPr>
                                <m:t>rent</m:t>
                              </m:r>
                            </m:sup>
                          </m:sSup>
                        </m:e>
                      </m:d>
                    </m:e>
                    <m:sup>
                      <m:r>
                        <w:rPr>
                          <w:rFonts w:ascii="Cambria Math" w:hAnsi="Cambria Math"/>
                        </w:rPr>
                        <m:t>1-ϕ</m:t>
                      </m:r>
                    </m:sup>
                  </m:sSup>
                  <m:sSup>
                    <m:sSupPr>
                      <m:ctrlPr>
                        <w:rPr>
                          <w:rFonts w:ascii="Cambria Math" w:hAnsi="Cambria Math"/>
                          <w:i/>
                          <w:iCs/>
                        </w:rPr>
                      </m:ctrlPr>
                    </m:sSupPr>
                    <m:e>
                      <m:d>
                        <m:dPr>
                          <m:ctrlPr>
                            <w:rPr>
                              <w:rFonts w:ascii="Cambria Math" w:hAnsi="Cambria Math"/>
                              <w:i/>
                              <w:iCs/>
                            </w:rPr>
                          </m:ctrlPr>
                        </m:dPr>
                        <m:e>
                          <m:sSubSup>
                            <m:sSubSupPr>
                              <m:ctrlPr>
                                <w:rPr>
                                  <w:rFonts w:ascii="Cambria Math" w:hAnsi="Cambria Math"/>
                                  <w:i/>
                                  <w:iCs/>
                                </w:rPr>
                              </m:ctrlPr>
                            </m:sSubSupPr>
                            <m:e>
                              <m:r>
                                <w:rPr>
                                  <w:rFonts w:ascii="Cambria Math" w:hAnsi="Cambria Math"/>
                                </w:rPr>
                                <m:t>π</m:t>
                              </m:r>
                            </m:e>
                            <m:sub>
                              <m:r>
                                <w:rPr>
                                  <w:rFonts w:ascii="Cambria Math" w:hAnsi="Cambria Math"/>
                                </w:rPr>
                                <m:t>t-1</m:t>
                              </m:r>
                            </m:sub>
                            <m:sup>
                              <m:r>
                                <w:rPr>
                                  <w:rFonts w:ascii="Cambria Math" w:hAnsi="Cambria Math"/>
                                </w:rPr>
                                <m:t>rent</m:t>
                              </m:r>
                            </m:sup>
                          </m:sSubSup>
                        </m:e>
                      </m:d>
                    </m:e>
                    <m:sup>
                      <m:r>
                        <w:rPr>
                          <w:rFonts w:ascii="Cambria Math" w:hAnsi="Cambria Math"/>
                        </w:rPr>
                        <m:t>ϕ</m:t>
                      </m:r>
                    </m:sup>
                  </m:sSup>
                </m:e>
              </m:d>
            </m:e>
            <m:sup>
              <m:r>
                <w:rPr>
                  <w:rFonts w:ascii="Cambria Math" w:hAnsi="Cambria Math"/>
                </w:rPr>
                <m:t>2</m:t>
              </m:r>
            </m:sup>
          </m:sSup>
          <m:sSub>
            <m:sSubPr>
              <m:ctrlPr>
                <w:rPr>
                  <w:rFonts w:ascii="Cambria Math" w:hAnsi="Cambria Math"/>
                  <w:i/>
                  <w:iCs/>
                </w:rPr>
              </m:ctrlPr>
            </m:sSubPr>
            <m:e>
              <m:r>
                <w:rPr>
                  <w:rFonts w:ascii="Cambria Math" w:hAnsi="Cambria Math"/>
                </w:rPr>
                <m:t>r</m:t>
              </m:r>
            </m:e>
            <m:sub>
              <m:r>
                <w:rPr>
                  <w:rFonts w:ascii="Cambria Math" w:hAnsi="Cambria Math"/>
                </w:rPr>
                <m:t>t</m:t>
              </m:r>
            </m:sub>
          </m:sSub>
          <m:sSubSup>
            <m:sSubSupPr>
              <m:ctrlPr>
                <w:rPr>
                  <w:rFonts w:ascii="Cambria Math" w:hAnsi="Cambria Math"/>
                  <w:i/>
                  <w:iCs/>
                </w:rPr>
              </m:ctrlPr>
            </m:sSubSupPr>
            <m:e>
              <m:r>
                <w:rPr>
                  <w:rFonts w:ascii="Cambria Math" w:hAnsi="Cambria Math"/>
                </w:rPr>
                <m:t>Y</m:t>
              </m:r>
            </m:e>
            <m:sub>
              <m:r>
                <w:rPr>
                  <w:rFonts w:ascii="Cambria Math" w:hAnsi="Cambria Math"/>
                </w:rPr>
                <m:t>t</m:t>
              </m:r>
            </m:sub>
            <m:sup>
              <m:r>
                <w:rPr>
                  <w:rFonts w:ascii="Cambria Math" w:hAnsi="Cambria Math"/>
                </w:rPr>
                <m:t>rent</m:t>
              </m:r>
            </m:sup>
          </m:sSubSup>
        </m:oMath>
      </m:oMathPara>
    </w:p>
    <w:p w14:paraId="710528FB" w14:textId="77777777" w:rsidR="00CA77FD" w:rsidRPr="00A45F0A" w:rsidRDefault="001A66DC" w:rsidP="00CA77FD">
      <w:pPr>
        <w:pStyle w:val="BodyText"/>
      </w:pPr>
      <w:r w:rsidRPr="00A45F0A">
        <w:t xml:space="preserve">The total number of </w:t>
      </w:r>
      <w:r>
        <w:t>dwellings</w:t>
      </w:r>
      <w:r w:rsidRPr="00A45F0A">
        <w:t xml:space="preserve"> acquired for investment by the lenders matches the supply of the final rental dwelling product.</w:t>
      </w:r>
    </w:p>
    <w:p w14:paraId="6E021426" w14:textId="5E023295" w:rsidR="00CA77FD" w:rsidRPr="00A45F0A" w:rsidRDefault="00000000" w:rsidP="004E610F">
      <w:pPr>
        <w:pStyle w:val="BodyText"/>
        <w:rPr>
          <w:rFonts w:asciiTheme="majorHAnsi" w:hAnsiTheme="majorHAnsi"/>
        </w:rPr>
      </w:pPr>
      <m:oMathPara>
        <m:oMath>
          <m:sSub>
            <m:sSubPr>
              <m:ctrlPr>
                <w:rPr>
                  <w:rFonts w:ascii="Cambria Math" w:hAnsi="Cambria Math"/>
                </w:rPr>
              </m:ctrlPr>
            </m:sSubPr>
            <m:e>
              <m:r>
                <w:rPr>
                  <w:rFonts w:ascii="Cambria Math" w:hAnsi="Cambria Math"/>
                </w:rPr>
                <m:t>h</m:t>
              </m:r>
            </m:e>
            <m:sub>
              <m:r>
                <w:rPr>
                  <w:rFonts w:ascii="Cambria Math" w:hAnsi="Cambria Math"/>
                </w:rPr>
                <m:t>inv</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oMath>
      </m:oMathPara>
    </w:p>
    <w:p w14:paraId="60CBF674" w14:textId="2CD63320" w:rsidR="00CA77FD" w:rsidRPr="00A45F0A" w:rsidRDefault="001A66DC" w:rsidP="00CA77FD">
      <w:pPr>
        <w:pStyle w:val="BodyText"/>
      </w:pPr>
      <w:r w:rsidRPr="00A45F0A">
        <w:t xml:space="preserve">The total number of </w:t>
      </w:r>
      <w:r>
        <w:t xml:space="preserve">dwellings </w:t>
      </w:r>
      <w:r w:rsidR="008A4BEE">
        <w:t>in</w:t>
      </w:r>
      <w:r w:rsidRPr="00A45F0A">
        <w:t xml:space="preserve"> the economy, available for both rent and ownership, is constant.</w:t>
      </w:r>
    </w:p>
    <w:p w14:paraId="0BBABBB3" w14:textId="155B5533" w:rsidR="00CA77FD" w:rsidRPr="00A45F0A" w:rsidRDefault="00000000" w:rsidP="00CA77FD">
      <w:pPr>
        <w:pStyle w:val="BodyText"/>
        <w:rPr>
          <w:rFonts w:asciiTheme="majorHAnsi" w:eastAsiaTheme="minorEastAsia" w:hAnsiTheme="majorHAnsi"/>
        </w:rPr>
      </w:pPr>
      <m:oMathPara>
        <m:oMath>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h</m:t>
          </m:r>
        </m:oMath>
      </m:oMathPara>
    </w:p>
    <w:p w14:paraId="15BF89A9" w14:textId="2601F26E" w:rsidR="00CA77FD" w:rsidRPr="00A45F0A" w:rsidRDefault="001A66DC" w:rsidP="00CA77FD">
      <w:pPr>
        <w:pStyle w:val="BodyText"/>
      </w:pPr>
      <w:r w:rsidRPr="00A45F0A">
        <w:t>Total savings are equal to total debt.</w:t>
      </w:r>
    </w:p>
    <w:p w14:paraId="7010E4BE" w14:textId="77777777" w:rsidR="00CA77FD" w:rsidRPr="00983860" w:rsidRDefault="00000000" w:rsidP="00CA77FD">
      <w:pPr>
        <w:pStyle w:val="BodyText"/>
        <w:rPr>
          <w:rFonts w:asciiTheme="majorHAnsi" w:eastAsiaTheme="minorEastAsia" w:hAnsiTheme="majorHAnsi"/>
        </w:rPr>
      </w:pPr>
      <m:oMathPara>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m:t>
              </m:r>
            </m:sup>
          </m:sSubSup>
          <m:r>
            <m:rPr>
              <m:sty m:val="p"/>
            </m:rPr>
            <w:rPr>
              <w:rFonts w:ascii="Cambria Math" w:hAnsi="Cambria Math"/>
            </w:rPr>
            <m:t>=0</m:t>
          </m:r>
        </m:oMath>
      </m:oMathPara>
    </w:p>
    <w:p w14:paraId="38AE9EC5" w14:textId="3FF94434" w:rsidR="004B16DE" w:rsidRDefault="004B16DE" w:rsidP="005219B0">
      <w:pPr>
        <w:pStyle w:val="BodyText"/>
        <w:rPr>
          <w:color w:val="FF0000"/>
          <w:lang w:bidi="he-IL"/>
        </w:rPr>
      </w:pPr>
      <w:r w:rsidRPr="000E7DF7">
        <w:t>As outlined in</w:t>
      </w:r>
      <w:r w:rsidR="005219B0">
        <w:t xml:space="preserve"> </w:t>
      </w:r>
      <w:r w:rsidR="005219B0" w:rsidRPr="005219B0">
        <w:rPr>
          <w:color w:val="0081AD"/>
        </w:rPr>
        <w:fldChar w:fldCharType="begin"/>
      </w:r>
      <w:r w:rsidR="005219B0" w:rsidRPr="005219B0">
        <w:rPr>
          <w:color w:val="0081AD"/>
        </w:rPr>
        <w:instrText xml:space="preserve"> ADDIN ZOTERO_ITEM CSL_CITATION {"citationID":"FVHPWw9G","properties":{"unsorted":false,"formattedCitation":"Sun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5219B0" w:rsidRPr="005219B0">
        <w:rPr>
          <w:color w:val="0081AD"/>
        </w:rPr>
        <w:fldChar w:fldCharType="separate"/>
      </w:r>
      <w:r w:rsidR="005219B0" w:rsidRPr="005219B0">
        <w:rPr>
          <w:rFonts w:ascii="Utopia" w:hAnsi="Utopia"/>
          <w:color w:val="0081AD"/>
        </w:rPr>
        <w:t>Sun and Tsang (2017)</w:t>
      </w:r>
      <w:r w:rsidR="005219B0" w:rsidRPr="005219B0">
        <w:rPr>
          <w:color w:val="0081AD"/>
        </w:rPr>
        <w:fldChar w:fldCharType="end"/>
      </w:r>
      <w:r w:rsidRPr="000E7DF7">
        <w:t>, the model is specified at each</w:t>
      </w:r>
      <w:r>
        <w:t xml:space="preserve"> household’s type</w:t>
      </w:r>
      <w:r w:rsidRPr="000E7DF7">
        <w:t xml:space="preserve"> aggregate level. For instance,</w:t>
      </w:r>
      <w:r>
        <w:t xml:space="preserve"> </w:t>
      </w:r>
      <m:oMath>
        <m:sSub>
          <m:sSubPr>
            <m:ctrlPr>
              <w:rPr>
                <w:rFonts w:ascii="Cambria Math" w:hAnsi="Cambria Math"/>
                <w:i/>
                <w:lang w:bidi="he-IL"/>
              </w:rPr>
            </m:ctrlPr>
          </m:sSubPr>
          <m:e>
            <m:r>
              <w:rPr>
                <w:rFonts w:ascii="Cambria Math" w:hAnsi="Cambria Math"/>
                <w:lang w:bidi="he-IL"/>
              </w:rPr>
              <m:t>B</m:t>
            </m:r>
          </m:e>
          <m:sub>
            <m:r>
              <w:rPr>
                <w:rFonts w:ascii="Cambria Math" w:hAnsi="Cambria Math"/>
                <w:lang w:bidi="he-IL"/>
              </w:rPr>
              <m:t>t</m:t>
            </m:r>
          </m:sub>
        </m:sSub>
        <m:r>
          <w:rPr>
            <w:rFonts w:ascii="Cambria Math" w:hAnsi="Cambria Math"/>
            <w:lang w:bidi="he-IL"/>
          </w:rPr>
          <m:t>=</m:t>
        </m:r>
        <m:nary>
          <m:naryPr>
            <m:supHide m:val="1"/>
            <m:ctrlPr>
              <w:rPr>
                <w:rFonts w:ascii="Cambria Math" w:hAnsi="Cambria Math"/>
                <w:i/>
                <w:lang w:bidi="he-IL"/>
              </w:rPr>
            </m:ctrlPr>
          </m:naryPr>
          <m:sub>
            <m:r>
              <w:rPr>
                <w:rFonts w:ascii="Cambria Math" w:hAnsi="Cambria Math"/>
                <w:lang w:bidi="he-IL"/>
              </w:rPr>
              <m:t>τ</m:t>
            </m:r>
          </m:sub>
          <m:sup/>
          <m:e>
            <m:sSub>
              <m:sSubPr>
                <m:ctrlPr>
                  <w:rPr>
                    <w:rFonts w:ascii="Cambria Math" w:hAnsi="Cambria Math"/>
                    <w:i/>
                    <w:lang w:bidi="he-IL"/>
                  </w:rPr>
                </m:ctrlPr>
              </m:sSubPr>
              <m:e>
                <m:r>
                  <w:rPr>
                    <w:rFonts w:ascii="Cambria Math" w:hAnsi="Cambria Math"/>
                    <w:lang w:bidi="he-IL"/>
                  </w:rPr>
                  <m:t>b</m:t>
                </m:r>
              </m:e>
              <m:sub>
                <m:r>
                  <w:rPr>
                    <w:rFonts w:ascii="Cambria Math" w:hAnsi="Cambria Math"/>
                    <w:lang w:bidi="he-IL"/>
                  </w:rPr>
                  <m:t>t</m:t>
                </m:r>
              </m:sub>
            </m:sSub>
          </m:e>
        </m:nary>
        <m:r>
          <w:rPr>
            <w:rFonts w:ascii="Cambria Math" w:hAnsi="Cambria Math"/>
            <w:lang w:bidi="he-IL"/>
          </w:rPr>
          <m:t>=τ</m:t>
        </m:r>
        <m:sSub>
          <m:sSubPr>
            <m:ctrlPr>
              <w:rPr>
                <w:rFonts w:ascii="Cambria Math" w:hAnsi="Cambria Math"/>
                <w:i/>
                <w:lang w:bidi="he-IL"/>
              </w:rPr>
            </m:ctrlPr>
          </m:sSubPr>
          <m:e>
            <m:r>
              <w:rPr>
                <w:rFonts w:ascii="Cambria Math" w:hAnsi="Cambria Math"/>
                <w:lang w:bidi="he-IL"/>
              </w:rPr>
              <m:t>b</m:t>
            </m:r>
          </m:e>
          <m:sub>
            <m:r>
              <w:rPr>
                <w:rFonts w:ascii="Cambria Math" w:hAnsi="Cambria Math"/>
                <w:lang w:bidi="he-IL"/>
              </w:rPr>
              <m:t>t</m:t>
            </m:r>
          </m:sub>
        </m:sSub>
      </m:oMath>
      <w:r>
        <w:rPr>
          <w:rFonts w:eastAsiaTheme="minorEastAsia"/>
          <w:lang w:bidi="he-IL"/>
        </w:rPr>
        <w:t xml:space="preserve">, where </w:t>
      </w:r>
      <m:oMath>
        <m:sSub>
          <m:sSubPr>
            <m:ctrlPr>
              <w:rPr>
                <w:rFonts w:ascii="Cambria Math" w:hAnsi="Cambria Math"/>
                <w:i/>
                <w:lang w:bidi="he-IL"/>
              </w:rPr>
            </m:ctrlPr>
          </m:sSubPr>
          <m:e>
            <m:r>
              <w:rPr>
                <w:rFonts w:ascii="Cambria Math" w:hAnsi="Cambria Math"/>
                <w:lang w:bidi="he-IL"/>
              </w:rPr>
              <m:t>b</m:t>
            </m:r>
          </m:e>
          <m:sub>
            <m:r>
              <w:rPr>
                <w:rFonts w:ascii="Cambria Math" w:hAnsi="Cambria Math"/>
                <w:lang w:bidi="he-IL"/>
              </w:rPr>
              <m:t>t</m:t>
            </m:r>
          </m:sub>
        </m:sSub>
      </m:oMath>
      <w:r>
        <w:rPr>
          <w:rFonts w:eastAsiaTheme="minorEastAsia"/>
          <w:lang w:bidi="he-IL"/>
        </w:rPr>
        <w:t xml:space="preserve"> </w:t>
      </w:r>
      <w:r>
        <w:t xml:space="preserve"> </w:t>
      </w:r>
      <w:r w:rsidRPr="000E7DF7">
        <w:t>represents the "per household" level; this approach similarly applies to other</w:t>
      </w:r>
      <w:r w:rsidR="007A3666">
        <w:t xml:space="preserve"> </w:t>
      </w:r>
      <w:r w:rsidRPr="000E7DF7">
        <w:t>variables. The proportion of each type within the population influences the economy through their respective labor contributions to production.</w:t>
      </w:r>
    </w:p>
    <w:p w14:paraId="532450BF" w14:textId="77777777" w:rsidR="00695928" w:rsidRPr="002B06AB" w:rsidRDefault="001A66DC" w:rsidP="00426E3A">
      <w:pPr>
        <w:pStyle w:val="Heading1"/>
        <w:spacing w:line="276" w:lineRule="auto"/>
        <w:jc w:val="both"/>
      </w:pPr>
      <w:bookmarkStart w:id="23" w:name="OLE_LINK12"/>
      <w:r w:rsidRPr="002B06AB">
        <w:t>Calibration</w:t>
      </w:r>
    </w:p>
    <w:bookmarkEnd w:id="23"/>
    <w:p w14:paraId="333A95D1" w14:textId="15D23871" w:rsidR="00AE37B1" w:rsidRDefault="001A66DC" w:rsidP="00EC7FDA">
      <w:pPr>
        <w:pStyle w:val="BodyText"/>
      </w:pPr>
      <w:r w:rsidRPr="00AF3308">
        <w:t xml:space="preserve">We </w:t>
      </w:r>
      <w:r w:rsidR="00A618F9" w:rsidRPr="00AF3308">
        <w:t>calibrate</w:t>
      </w:r>
      <w:r w:rsidRPr="00AF3308">
        <w:t xml:space="preserve"> our model </w:t>
      </w:r>
      <w:r w:rsidR="00C970AB" w:rsidRPr="00AF3308">
        <w:t xml:space="preserve">parameters </w:t>
      </w:r>
      <w:r w:rsidRPr="00AF3308">
        <w:t xml:space="preserve">to </w:t>
      </w:r>
      <w:r w:rsidR="00A618F9" w:rsidRPr="00AF3308">
        <w:t>align</w:t>
      </w:r>
      <w:r w:rsidRPr="00AF3308">
        <w:t xml:space="preserve"> </w:t>
      </w:r>
      <w:r w:rsidR="00A618F9" w:rsidRPr="00AF3308">
        <w:t>with t</w:t>
      </w:r>
      <w:r w:rsidRPr="00AF3308">
        <w:t>he Israeli economy</w:t>
      </w:r>
      <w:r w:rsidR="00A618F9" w:rsidRPr="00AF3308">
        <w:t>'s distinct features</w:t>
      </w:r>
      <w:r w:rsidR="002E1C91">
        <w:t xml:space="preserve"> (Table 1)</w:t>
      </w:r>
      <w:r w:rsidRPr="00AF3308">
        <w:t>.</w:t>
      </w:r>
      <w:r w:rsidR="00BA3021">
        <w:t xml:space="preserve"> </w:t>
      </w:r>
      <w:r w:rsidR="0058250C" w:rsidRPr="0058250C">
        <w:t xml:space="preserve">We begin with the habit formation parameter in consumption, a standard feature in empirical models for Israel that, while not critical to housing market mechanisms, improves the precision of the quantitative </w:t>
      </w:r>
      <w:r w:rsidR="00383C3A" w:rsidRPr="0058250C">
        <w:t>analysis.</w:t>
      </w:r>
      <w:r w:rsidR="00383C3A" w:rsidRPr="00AF3308">
        <w:t xml:space="preserve"> The</w:t>
      </w:r>
      <w:r w:rsidR="00EC4A15" w:rsidRPr="00AF3308">
        <w:t xml:space="preserve"> </w:t>
      </w:r>
      <w:r w:rsidR="00AB0F1E" w:rsidRPr="00B600AA">
        <w:t>degree</w:t>
      </w:r>
      <w:r w:rsidR="00AB0F1E" w:rsidRPr="00AF3308">
        <w:t xml:space="preserve"> </w:t>
      </w:r>
      <w:r w:rsidR="00AB0F1E">
        <w:t xml:space="preserve">of </w:t>
      </w:r>
      <w:r w:rsidR="00EC4A15" w:rsidRPr="00AF3308">
        <w:t xml:space="preserve">habit formation parameter </w:t>
      </w:r>
      <w:r w:rsidR="00F77EA7" w:rsidRPr="00AF3308">
        <w:t>for</w:t>
      </w:r>
      <w:r w:rsidR="00EC4A15" w:rsidRPr="00AF3308">
        <w:t xml:space="preserve"> consumption</w:t>
      </w:r>
      <m:oMath>
        <m:r>
          <w:rPr>
            <w:rFonts w:ascii="Cambria Math" w:hAnsi="Cambria Math"/>
          </w:rPr>
          <m:t xml:space="preserve"> </m:t>
        </m:r>
        <m:sSup>
          <m:sSupPr>
            <m:ctrlPr>
              <w:rPr>
                <w:rFonts w:ascii="Cambria Math" w:hAnsi="Cambria Math"/>
                <w:i/>
              </w:rPr>
            </m:ctrlPr>
          </m:sSupPr>
          <m:e>
            <m:r>
              <w:rPr>
                <w:rFonts w:ascii="Cambria Math" w:hAnsi="Cambria Math"/>
              </w:rPr>
              <m:t>ζ</m:t>
            </m:r>
          </m:e>
          <m:sup>
            <m:r>
              <w:rPr>
                <w:rFonts w:ascii="Cambria Math" w:hAnsi="Cambria Math"/>
              </w:rPr>
              <m:t>c</m:t>
            </m:r>
          </m:sup>
        </m:sSup>
      </m:oMath>
      <w:r w:rsidR="006C715E" w:rsidRPr="00AF3308">
        <w:t xml:space="preserve"> </w:t>
      </w:r>
      <w:r w:rsidR="00EC4A15" w:rsidRPr="00AF3308">
        <w:t xml:space="preserve">is set at 0.5 for </w:t>
      </w:r>
      <w:r w:rsidR="00F77EA7" w:rsidRPr="00AF3308">
        <w:t>all</w:t>
      </w:r>
      <w:r w:rsidR="00EC4A15" w:rsidRPr="00AF3308">
        <w:t xml:space="preserve"> households, </w:t>
      </w:r>
      <w:r w:rsidR="008D6367" w:rsidRPr="00AF3308">
        <w:t>a value that falls between</w:t>
      </w:r>
      <w:r w:rsidR="002B06AB">
        <w:t xml:space="preserve"> the</w:t>
      </w:r>
      <w:r w:rsidR="008D6367" w:rsidRPr="00AF3308">
        <w:t xml:space="preserve"> </w:t>
      </w:r>
      <w:r w:rsidR="006C715E" w:rsidRPr="00AF3308">
        <w:t xml:space="preserve">0.62 </w:t>
      </w:r>
      <w:r w:rsidR="008D6367" w:rsidRPr="00AF3308">
        <w:t>fro</w:t>
      </w:r>
      <w:r w:rsidR="00F77EA7" w:rsidRPr="00AF3308">
        <w:t>m</w:t>
      </w:r>
      <w:r w:rsidR="006C715E" w:rsidRPr="00AF3308">
        <w:t xml:space="preserve"> </w:t>
      </w:r>
      <w:r w:rsidR="00603BCB" w:rsidRPr="00E357C7">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{"citationID":"VQT8r8XA","properties":{"formattedCitation":"Argov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00603BCB" w:rsidRPr="00E357C7">
        <w:rPr>
          <w:rFonts w:asciiTheme="majorHAnsi" w:hAnsiTheme="majorHAnsi" w:cs="David"/>
          <w:color w:val="0081AD"/>
          <w:lang w:bidi="he-IL"/>
        </w:rPr>
        <w:fldChar w:fldCharType="separate"/>
      </w:r>
      <w:r w:rsidR="00EC7FDA" w:rsidRPr="00D26332">
        <w:rPr>
          <w:rFonts w:asciiTheme="majorHAnsi" w:hAnsiTheme="majorHAnsi" w:cs="David"/>
          <w:color w:val="0081AD"/>
          <w:lang w:bidi="he-IL"/>
        </w:rPr>
        <w:t>Argov et al. (2012)</w:t>
      </w:r>
      <w:r w:rsidR="00603BCB" w:rsidRPr="00E357C7">
        <w:rPr>
          <w:rFonts w:asciiTheme="majorHAnsi" w:hAnsiTheme="majorHAnsi" w:cs="David"/>
          <w:color w:val="0081AD"/>
          <w:lang w:bidi="he-IL"/>
        </w:rPr>
        <w:fldChar w:fldCharType="end"/>
      </w:r>
      <w:r w:rsidR="006C715E" w:rsidRPr="00E357C7">
        <w:rPr>
          <w:rFonts w:asciiTheme="majorHAnsi" w:hAnsiTheme="majorHAnsi" w:cs="David"/>
          <w:color w:val="0081AD"/>
          <w:lang w:bidi="he-IL"/>
        </w:rPr>
        <w:t xml:space="preserve"> </w:t>
      </w:r>
      <w:r w:rsidR="006C715E" w:rsidRPr="00AF3308">
        <w:t>and</w:t>
      </w:r>
      <w:r w:rsidR="002B06AB">
        <w:t xml:space="preserve"> the</w:t>
      </w:r>
      <w:r w:rsidR="006C715E" w:rsidRPr="00AF3308">
        <w:t xml:space="preserve"> 0.1 </w:t>
      </w:r>
      <w:r w:rsidR="0085469C" w:rsidRPr="00AF3308">
        <w:t>from</w:t>
      </w:r>
      <w:r w:rsidR="007656B7">
        <w:t xml:space="preserve"> </w:t>
      </w:r>
      <w:bookmarkStart w:id="24" w:name="OLE_LINK47"/>
      <w:r w:rsidR="007656B7" w:rsidRPr="00E357C7">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{"citationID":"6nL89EK4","properties":{"formattedCitation":"Ilek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E357C7">
        <w:rPr>
          <w:rFonts w:asciiTheme="majorHAnsi" w:hAnsiTheme="majorHAnsi" w:cs="David"/>
          <w:color w:val="0081AD"/>
          <w:lang w:bidi="he-IL"/>
        </w:rPr>
        <w:fldChar w:fldCharType="separate"/>
      </w:r>
      <w:r w:rsidR="00EC7FDA" w:rsidRPr="00944BB9">
        <w:rPr>
          <w:rFonts w:asciiTheme="majorHAnsi" w:hAnsiTheme="majorHAnsi" w:cs="David"/>
          <w:color w:val="0081AD"/>
          <w:lang w:bidi="he-IL"/>
        </w:rPr>
        <w:t>Ilek and Rozenshtrom (2018)</w:t>
      </w:r>
      <w:r w:rsidR="007656B7" w:rsidRPr="00E357C7">
        <w:rPr>
          <w:rFonts w:asciiTheme="majorHAnsi" w:hAnsiTheme="majorHAnsi" w:cs="David"/>
          <w:color w:val="0081AD"/>
          <w:lang w:bidi="he-IL"/>
        </w:rPr>
        <w:fldChar w:fldCharType="end"/>
      </w:r>
      <w:bookmarkEnd w:id="24"/>
      <w:r w:rsidR="001C7855" w:rsidRPr="00944BB9">
        <w:t>,</w:t>
      </w:r>
      <w:r w:rsidR="001C7855">
        <w:t xml:space="preserve"> (</w:t>
      </w:r>
      <w:r w:rsidR="001C7855" w:rsidRPr="001C7855">
        <w:t>IL&amp;R</w:t>
      </w:r>
      <w:r w:rsidR="00C241B9">
        <w:t xml:space="preserve"> in Table 1</w:t>
      </w:r>
      <w:r w:rsidR="001C7855">
        <w:t>)</w:t>
      </w:r>
      <w:r w:rsidR="006C715E" w:rsidRPr="00AF3308">
        <w:t xml:space="preserve">. </w:t>
      </w:r>
      <w:r w:rsidR="00E548AC" w:rsidRPr="00AF3308">
        <w:t>The disutility from labor</w:t>
      </w:r>
      <w:r w:rsidR="00F77EA7" w:rsidRPr="00AF3308">
        <w:t xml:space="preserve"> parameter </w:t>
      </w:r>
      <m:oMath>
        <m:r>
          <w:rPr>
            <w:rFonts w:ascii="Cambria Math" w:hAnsi="Cambria Math"/>
          </w:rPr>
          <m:t>θ</m:t>
        </m:r>
      </m:oMath>
      <w:r w:rsidR="00F77EA7" w:rsidRPr="00AF3308">
        <w:t xml:space="preserve"> is set </w:t>
      </w:r>
      <w:r w:rsidR="00E548AC" w:rsidRPr="00AF3308">
        <w:t xml:space="preserve">at 2.5, </w:t>
      </w:r>
      <w:r w:rsidR="00F77EA7" w:rsidRPr="00AF3308">
        <w:t>consistent with</w:t>
      </w:r>
      <w:r w:rsidR="00E548AC" w:rsidRPr="00AF3308">
        <w:t xml:space="preserve"> </w:t>
      </w:r>
      <w:r w:rsidR="007656B7" w:rsidRPr="00E357C7">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{"citationID":"FSHGRZVc","properties":{"formattedCitation":"Ilek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E357C7">
        <w:rPr>
          <w:rFonts w:asciiTheme="majorHAnsi" w:hAnsiTheme="majorHAnsi" w:cs="David"/>
          <w:color w:val="0081AD"/>
          <w:lang w:bidi="he-IL"/>
        </w:rPr>
        <w:fldChar w:fldCharType="separate"/>
      </w:r>
      <w:r w:rsidR="00EC7FDA" w:rsidRPr="00313907">
        <w:rPr>
          <w:rFonts w:asciiTheme="majorHAnsi" w:hAnsiTheme="majorHAnsi" w:cs="David"/>
          <w:color w:val="0081AD"/>
          <w:lang w:bidi="he-IL"/>
        </w:rPr>
        <w:t>I</w:t>
      </w:r>
      <w:r w:rsidR="00EC7FDA" w:rsidRPr="009E23AD">
        <w:rPr>
          <w:rFonts w:asciiTheme="majorHAnsi" w:hAnsiTheme="majorHAnsi" w:cs="David"/>
          <w:color w:val="0081AD"/>
          <w:lang w:bidi="he-IL"/>
        </w:rPr>
        <w:t>lek and Rozenshtrom (2018)</w:t>
      </w:r>
      <w:r w:rsidR="007656B7" w:rsidRPr="00E357C7">
        <w:rPr>
          <w:rFonts w:asciiTheme="majorHAnsi" w:hAnsiTheme="majorHAnsi" w:cs="David"/>
          <w:color w:val="0081AD"/>
          <w:lang w:bidi="he-IL"/>
        </w:rPr>
        <w:fldChar w:fldCharType="end"/>
      </w:r>
      <w:r w:rsidR="00E548AC" w:rsidRPr="00E357C7">
        <w:rPr>
          <w:rFonts w:asciiTheme="majorHAnsi" w:hAnsiTheme="majorHAnsi" w:cs="David"/>
          <w:color w:val="0081AD"/>
          <w:lang w:bidi="he-IL"/>
        </w:rPr>
        <w:t>.</w:t>
      </w:r>
      <w:r w:rsidR="00AB0F1E">
        <w:t xml:space="preserve"> The relative </w:t>
      </w:r>
      <w:r w:rsidR="00AB0F1E" w:rsidRPr="00B600AA">
        <w:t xml:space="preserve">preference </w:t>
      </w:r>
      <w:r w:rsidR="00AB0F1E">
        <w:t>of</w:t>
      </w:r>
      <w:r w:rsidR="00AB0F1E" w:rsidRPr="00B600AA">
        <w:t xml:space="preserve"> housing,</w:t>
      </w:r>
      <w:r w:rsidR="00AB0F1E">
        <w:t xml:space="preserve"> </w:t>
      </w:r>
      <m:oMath>
        <m:sSub>
          <m:sSubPr>
            <m:ctrlPr>
              <w:rPr>
                <w:rFonts w:ascii="Cambria Math" w:hAnsi="Cambria Math"/>
                <w:i/>
              </w:rPr>
            </m:ctrlPr>
          </m:sSubPr>
          <m:e>
            <m:r>
              <w:rPr>
                <w:rFonts w:ascii="Cambria Math" w:hAnsi="Cambria Math"/>
              </w:rPr>
              <m:t>j</m:t>
            </m:r>
          </m:e>
          <m:sub>
            <m:r>
              <w:rPr>
                <w:rFonts w:ascii="Cambria Math" w:hAnsi="Cambria Math"/>
              </w:rPr>
              <m:t>t</m:t>
            </m:r>
          </m:sub>
        </m:sSub>
      </m:oMath>
      <w:r w:rsidR="00AB0F1E">
        <w:rPr>
          <w:rFonts w:eastAsiaTheme="minorEastAsia"/>
        </w:rPr>
        <w:t xml:space="preserve">, set in steady state </w:t>
      </w:r>
      <w:r w:rsidR="00AB0F1E">
        <w:t xml:space="preserve">to </w:t>
      </w:r>
      <m:oMath>
        <m:r>
          <w:rPr>
            <w:rFonts w:ascii="Cambria Math" w:hAnsi="Cambria Math"/>
          </w:rPr>
          <m:t>j=1</m:t>
        </m:r>
      </m:oMath>
      <w:r w:rsidR="00AB0F1E">
        <w:t xml:space="preserve">, while we test for robustness in the appendix </w:t>
      </w:r>
      <w:r w:rsidR="00AB0F1E" w:rsidRPr="00C379E4">
        <w:t xml:space="preserve">the case of </w:t>
      </w:r>
      <m:oMath>
        <m:r>
          <w:rPr>
            <w:rFonts w:ascii="Cambria Math" w:hAnsi="Cambria Math"/>
          </w:rPr>
          <m:t>j</m:t>
        </m:r>
        <m:r>
          <m:rPr>
            <m:sty m:val="p"/>
          </m:rPr>
          <w:rPr>
            <w:rFonts w:ascii="Cambria Math" w:hAnsi="Cambria Math"/>
          </w:rPr>
          <m:t>=0.12</m:t>
        </m:r>
      </m:oMath>
      <w:r w:rsidR="00AB0F1E" w:rsidRPr="00C379E4">
        <w:t xml:space="preserve"> as in</w:t>
      </w:r>
      <w:r w:rsidR="00AB0F1E">
        <w:t xml:space="preserve"> </w:t>
      </w:r>
      <w:r w:rsidR="00AB0F1E" w:rsidRPr="00376DEF">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{"citationID":"JSAywppA","properties":{"formattedCitation":"Iacoviello and Neri (2010)","plainCitation":"Iacoviello and Neri (2010)","noteIndex":0},"citationItems":[{"id":1889,"uris":["http://zotero.org/users/6680486/items/6ES4R79E"],"itemData":{"id":1889,"type":"article-journal","abstract":"We study sources and consequences of fluctuations in the US housing market. Slow technological progress in the housing sector explains the upward trend in real housing prices of the last 40 years. Over the business cycle, housing demand and housing technology shocks explain one-quarter each of the volatility of housing investment and housing prices. Monetary factors explain less than 20 percent, but have played a bigger role in the housing cycle at the turn of the century. We show that the housing market spillovers are nonnegligible, concentrated on consumption rather than business investment, and have become more important over time. (JEL E23, E32, E44, O33, R31)","citation-key":"iacovielloHousingMarketSpillovers2010","container-title":"American Economic Journal: Macroeconomics","DOI":"10.1257/mac.2.2.125","ISSN":"1945-7707, 1945-7715","issue":"2","journalAbbreviation":"American Economic Journal: Macroeconomics","language":"en","page":"125-164","source":"DOI.org (Crossref)","title":"Housing Market Spillovers: Evidence from an Estimated DSGE Model","title-short":"Housing Market Spillovers","volume":"2","author":[{"family":"Iacoviello","given":"Matteo"},{"family":"Neri","given":"Stefano"}],"issued":{"date-parts":[["2010",4,1]]}}}],"schema":"https://github.com/citation-style-language/schema/raw/master/csl-citation.json"} </w:instrText>
      </w:r>
      <w:r w:rsidR="00AB0F1E" w:rsidRPr="00376DEF">
        <w:rPr>
          <w:rFonts w:asciiTheme="majorHAnsi" w:hAnsiTheme="majorHAnsi" w:cs="David"/>
          <w:color w:val="0081AD"/>
          <w:lang w:bidi="he-IL"/>
        </w:rPr>
        <w:fldChar w:fldCharType="separate"/>
      </w:r>
      <w:r w:rsidR="00EC7FDA" w:rsidRPr="008F329A">
        <w:rPr>
          <w:rFonts w:asciiTheme="majorHAnsi" w:hAnsiTheme="majorHAnsi" w:cs="David"/>
          <w:color w:val="0081AD"/>
          <w:lang w:bidi="he-IL"/>
        </w:rPr>
        <w:t>Iacoviello and Neri (2010)</w:t>
      </w:r>
      <w:r w:rsidR="00AB0F1E" w:rsidRPr="00376DEF">
        <w:rPr>
          <w:rFonts w:asciiTheme="majorHAnsi" w:hAnsiTheme="majorHAnsi" w:cs="David"/>
          <w:color w:val="0081AD"/>
          <w:lang w:bidi="he-IL"/>
        </w:rPr>
        <w:fldChar w:fldCharType="end"/>
      </w:r>
      <w:r w:rsidR="00AB0F1E" w:rsidRPr="00376DEF">
        <w:rPr>
          <w:rFonts w:asciiTheme="majorHAnsi" w:hAnsiTheme="majorHAnsi" w:cs="David"/>
          <w:color w:val="0081AD"/>
          <w:lang w:bidi="he-IL"/>
        </w:rPr>
        <w:t xml:space="preserve"> </w:t>
      </w:r>
      <w:r w:rsidR="00AB0F1E">
        <w:t xml:space="preserve">and </w:t>
      </w:r>
      <w:r w:rsidR="00AB0F1E" w:rsidRPr="00376DEF">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{"citationID":"YEv1hg5v","properties":{"formattedCitation":"Sun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00AB0F1E" w:rsidRPr="00376DEF">
        <w:rPr>
          <w:rFonts w:asciiTheme="majorHAnsi" w:hAnsiTheme="majorHAnsi" w:cs="David"/>
          <w:color w:val="0081AD"/>
          <w:lang w:bidi="he-IL"/>
        </w:rPr>
        <w:fldChar w:fldCharType="separate"/>
      </w:r>
      <w:r w:rsidR="00EC7FDA" w:rsidRPr="008F329A">
        <w:rPr>
          <w:rFonts w:asciiTheme="majorHAnsi" w:hAnsiTheme="majorHAnsi" w:cs="David"/>
          <w:color w:val="0081AD"/>
          <w:lang w:bidi="he-IL"/>
        </w:rPr>
        <w:t>Sun and Tsang (2017)</w:t>
      </w:r>
      <w:r w:rsidR="00AB0F1E" w:rsidRPr="00376DEF">
        <w:rPr>
          <w:rFonts w:asciiTheme="majorHAnsi" w:hAnsiTheme="majorHAnsi" w:cs="David"/>
          <w:color w:val="0081AD"/>
          <w:lang w:bidi="he-IL"/>
        </w:rPr>
        <w:fldChar w:fldCharType="end"/>
      </w:r>
      <w:r w:rsidR="00AB0F1E" w:rsidRPr="008F329A">
        <w:t>.</w:t>
      </w:r>
      <w:r w:rsidR="00AB0F1E">
        <w:t xml:space="preserve"> </w:t>
      </w:r>
      <w:r w:rsidR="00A618F9" w:rsidRPr="00AF3308">
        <w:t xml:space="preserve">The </w:t>
      </w:r>
      <w:r w:rsidR="00D17D96" w:rsidRPr="00AF3308">
        <w:t xml:space="preserve">elasticity of substitution between differentiated </w:t>
      </w:r>
      <w:r w:rsidR="00C970AB" w:rsidRPr="00AF3308">
        <w:t xml:space="preserve">consumption </w:t>
      </w:r>
      <w:r w:rsidR="00D17D96" w:rsidRPr="00AF3308">
        <w:t xml:space="preserve">goods </w:t>
      </w:r>
      <w:r w:rsidR="00A618F9" w:rsidRPr="00AF3308">
        <w:t>(</w:t>
      </w:r>
      <m:oMath>
        <m:r>
          <w:rPr>
            <w:rFonts w:ascii="Cambria Math" w:hAnsi="Cambria Math"/>
          </w:rPr>
          <m:t>η=6</m:t>
        </m:r>
      </m:oMath>
      <w:r w:rsidR="00A618F9" w:rsidRPr="00AF3308">
        <w:t xml:space="preserve">) is set to imply a </w:t>
      </w:r>
      <w:r w:rsidR="00D17D96" w:rsidRPr="00AF3308">
        <w:t>steady state</w:t>
      </w:r>
      <w:r w:rsidR="00A618F9" w:rsidRPr="00AF3308">
        <w:t xml:space="preserve"> markup of 20%, consistent with </w:t>
      </w:r>
      <w:r w:rsidR="007656B7" w:rsidRPr="00255D36">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{"citationID":"LMbhY8lC","properties":{"formattedCitation":"Ilek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255D36">
        <w:rPr>
          <w:rFonts w:asciiTheme="majorHAnsi" w:hAnsiTheme="majorHAnsi" w:cs="David"/>
          <w:color w:val="0081AD"/>
          <w:lang w:bidi="he-IL"/>
        </w:rPr>
        <w:fldChar w:fldCharType="separate"/>
      </w:r>
      <w:r w:rsidR="00EC7FDA" w:rsidRPr="008D6BDE">
        <w:rPr>
          <w:rFonts w:asciiTheme="majorHAnsi" w:hAnsiTheme="majorHAnsi" w:cs="David"/>
          <w:color w:val="0081AD"/>
          <w:lang w:bidi="he-IL"/>
        </w:rPr>
        <w:t>Ilek and Rozenshtrom (2018)</w:t>
      </w:r>
      <w:r w:rsidR="007656B7" w:rsidRPr="00255D36">
        <w:rPr>
          <w:rFonts w:asciiTheme="majorHAnsi" w:hAnsiTheme="majorHAnsi" w:cs="David"/>
          <w:color w:val="0081AD"/>
          <w:lang w:bidi="he-IL"/>
        </w:rPr>
        <w:fldChar w:fldCharType="end"/>
      </w:r>
      <w:r w:rsidR="00D17D96" w:rsidRPr="00AF3308">
        <w:t xml:space="preserve">. </w:t>
      </w:r>
      <w:r w:rsidR="00A618F9" w:rsidRPr="00AF3308">
        <w:t>We apply the same elasticity value of 6 for the sub</w:t>
      </w:r>
      <w:r w:rsidR="00C970AB" w:rsidRPr="00AF3308">
        <w:t xml:space="preserve">stitution between differentiated rental </w:t>
      </w:r>
      <w:r w:rsidR="00CF54CF" w:rsidRPr="00AF3308">
        <w:t>goods</w:t>
      </w:r>
      <w:r w:rsidR="00C970AB" w:rsidRPr="00AF3308">
        <w:t>.</w:t>
      </w:r>
      <w:r w:rsidR="00E90A73" w:rsidRPr="00AF3308">
        <w:t xml:space="preserve"> </w:t>
      </w:r>
      <w:r w:rsidR="00FA29F7" w:rsidRPr="00AF3308">
        <w:t>This assumption suggests that firms have identical market power in both markets under monopolistic competition.</w:t>
      </w:r>
      <w:r w:rsidR="00AF3308" w:rsidRPr="00AF3308">
        <w:t xml:space="preserve"> </w:t>
      </w:r>
    </w:p>
    <w:p w14:paraId="69923203" w14:textId="77777777" w:rsidR="002E1C91" w:rsidRDefault="001A66DC" w:rsidP="00E460C0">
      <w:pPr>
        <w:pStyle w:val="BodyText"/>
      </w:pPr>
      <w:r w:rsidRPr="00AF3308">
        <w:t xml:space="preserve">We </w:t>
      </w:r>
      <w:r w:rsidR="00E82210" w:rsidRPr="00AF3308">
        <w:t>assume</w:t>
      </w:r>
      <w:r w:rsidRPr="00AF3308">
        <w:t xml:space="preserve"> </w:t>
      </w:r>
      <w:r w:rsidR="00E82210" w:rsidRPr="00AF3308">
        <w:t xml:space="preserve">a </w:t>
      </w:r>
      <w:r w:rsidRPr="00AF3308">
        <w:t xml:space="preserve">high elasticity </w:t>
      </w:r>
      <w:r w:rsidR="00F634BD" w:rsidRPr="00AF3308">
        <w:t xml:space="preserve">of substitution </w:t>
      </w:r>
      <w:r w:rsidRPr="00AF3308">
        <w:t>between rent</w:t>
      </w:r>
      <w:r w:rsidR="00E82210" w:rsidRPr="00AF3308">
        <w:t xml:space="preserve">ing and owning </w:t>
      </w:r>
      <w:r w:rsidR="00F90DC2" w:rsidRPr="00AF3308">
        <w:t>(</w:t>
      </w:r>
      <w:r w:rsidR="00E82210" w:rsidRPr="00AF3308">
        <w:t xml:space="preserve">set at </w:t>
      </w:r>
      <m:oMath>
        <m:r>
          <w:rPr>
            <w:rFonts w:ascii="Cambria Math" w:hAnsi="Cambria Math"/>
          </w:rPr>
          <m:t>ε=10</m:t>
        </m:r>
      </m:oMath>
      <w:r w:rsidR="00F90DC2" w:rsidRPr="00AF3308">
        <w:t xml:space="preserve">) </w:t>
      </w:r>
      <w:r w:rsidRPr="00AF3308">
        <w:t>in the housing</w:t>
      </w:r>
      <w:r w:rsidRPr="00AE1FD8">
        <w:t xml:space="preserve"> services aggregator function for both househol</w:t>
      </w:r>
      <w:r w:rsidR="00E82210" w:rsidRPr="00AE1FD8">
        <w:t xml:space="preserve">d </w:t>
      </w:r>
      <w:r w:rsidR="00E82210" w:rsidRPr="00AE1FD8">
        <w:lastRenderedPageBreak/>
        <w:t>types</w:t>
      </w:r>
      <w:r w:rsidRPr="00AE1FD8">
        <w:t xml:space="preserve">. </w:t>
      </w:r>
      <w:r w:rsidR="00BB0EFF" w:rsidRPr="00AE1FD8">
        <w:t>We t</w:t>
      </w:r>
      <w:r w:rsidRPr="00AE1FD8">
        <w:t xml:space="preserve">hen </w:t>
      </w:r>
      <w:r w:rsidR="00BB0EFF" w:rsidRPr="00AE1FD8">
        <w:t xml:space="preserve">adjust </w:t>
      </w:r>
      <w:r w:rsidR="00DF7F0A" w:rsidRPr="00AE1FD8">
        <w:t>parameter</w:t>
      </w:r>
      <w:r w:rsidRPr="00AE1FD8">
        <w:t>s</w:t>
      </w:r>
      <w:r w:rsidR="00DF7F0A" w:rsidRPr="00AE1FD8">
        <w:t xml:space="preserve"> </w:t>
      </w:r>
      <m:oMath>
        <m:r>
          <w:rPr>
            <w:rFonts w:ascii="Cambria Math" w:hAnsi="Cambria Math"/>
          </w:rPr>
          <m:t>γ</m:t>
        </m:r>
        <m:r>
          <m:rPr>
            <m:sty m:val="p"/>
          </m:rPr>
          <w:rPr>
            <w:rFonts w:ascii="Cambria Math" w:hAnsi="Cambria Math"/>
          </w:rPr>
          <m:t xml:space="preserve">=0.499 </m:t>
        </m:r>
      </m:oMath>
      <w:r w:rsidRPr="00AE1FD8">
        <w:t xml:space="preserve">and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=0.652</m:t>
        </m:r>
      </m:oMath>
      <w:r w:rsidRPr="00AE1FD8">
        <w:t xml:space="preserve"> </w:t>
      </w:r>
      <w:r w:rsidR="0074070D" w:rsidRPr="00AE1FD8">
        <w:t xml:space="preserve">to </w:t>
      </w:r>
      <w:r w:rsidR="00BB0EFF" w:rsidRPr="00AE1FD8">
        <w:t xml:space="preserve">align with the observed </w:t>
      </w:r>
      <w:r w:rsidR="00C34E08" w:rsidRPr="00AE1FD8">
        <w:t>ownership</w:t>
      </w:r>
      <w:r w:rsidR="0041760B" w:rsidRPr="00AE1FD8">
        <w:t>-to-rent ratio</w:t>
      </w:r>
      <w:r w:rsidR="00BB0EFF" w:rsidRPr="00AE1FD8">
        <w:t>s</w:t>
      </w:r>
      <w:r w:rsidR="0041760B" w:rsidRPr="00AE1FD8">
        <w:t xml:space="preserve"> of </w:t>
      </w:r>
      <w:r w:rsidR="00BB0EFF" w:rsidRPr="00AE1FD8">
        <w:t xml:space="preserve">6 for </w:t>
      </w:r>
      <w:r w:rsidR="0041760B" w:rsidRPr="00AE1FD8">
        <w:t xml:space="preserve">lenders and </w:t>
      </w:r>
      <w:r w:rsidR="00BB0EFF" w:rsidRPr="00AE1FD8">
        <w:t>1.</w:t>
      </w:r>
      <w:r w:rsidR="00E460C0">
        <w:t>6</w:t>
      </w:r>
      <w:r w:rsidR="00BB0EFF" w:rsidRPr="00AE1FD8">
        <w:t xml:space="preserve"> for </w:t>
      </w:r>
      <w:r w:rsidR="0041760B" w:rsidRPr="00AE1FD8">
        <w:t>borrowers.</w:t>
      </w:r>
      <w:r w:rsidRPr="00AE1FD8">
        <w:t xml:space="preserve"> </w:t>
      </w:r>
      <w:r w:rsidR="00EC10DB" w:rsidRPr="00AE1FD8">
        <w:t>It is</w:t>
      </w:r>
      <w:r w:rsidR="00BB0EFF" w:rsidRPr="00E82210">
        <w:t xml:space="preserve"> important to note that the lenders' ownership-to-rent ratio in the model is also influenced by the 20% markup in the rental market, while the borrowers' ratio is affected by the </w:t>
      </w:r>
      <w:r w:rsidR="00956F33">
        <w:t xml:space="preserve">steady state </w:t>
      </w:r>
      <w:r w:rsidR="00BB0EFF" w:rsidRPr="00E82210">
        <w:t>LTV ratio (</w:t>
      </w:r>
      <w:r w:rsidR="00956F33">
        <w:t>see Section 4.5</w:t>
      </w:r>
      <w:r w:rsidR="00BB0EFF" w:rsidRPr="00E82210">
        <w:t>).</w:t>
      </w:r>
      <w:r w:rsidR="00B90F09" w:rsidRPr="00AE1FD8">
        <w:t xml:space="preserve"> </w:t>
      </w:r>
    </w:p>
    <w:p w14:paraId="28959B0C" w14:textId="2F1B512A" w:rsidR="00EB01CD" w:rsidRDefault="001A66DC" w:rsidP="00EC7FDA">
      <w:pPr>
        <w:pStyle w:val="BodyText"/>
      </w:pPr>
      <w:r w:rsidRPr="00487825">
        <w:t>The two parameters—the share of constrained households (borrowers or impatient households) in the economy and their corresponding LTV ratio—are calibrated to reflect that, in reality, debt spans long periods.</w:t>
      </w:r>
      <w:r w:rsidR="00D32E4E">
        <w:t xml:space="preserve"> </w:t>
      </w:r>
      <w:r w:rsidR="009468F6" w:rsidRPr="003515F5">
        <w:t>We set the share</w:t>
      </w:r>
      <w:r w:rsidR="00B63449" w:rsidRPr="003515F5">
        <w:t xml:space="preserve"> of </w:t>
      </w:r>
      <w:bookmarkStart w:id="25" w:name="OLE_LINK1"/>
      <w:r w:rsidR="003B50E6" w:rsidRPr="003515F5">
        <w:t>constrained</w:t>
      </w:r>
      <w:r w:rsidR="00B63449" w:rsidRPr="003515F5">
        <w:t xml:space="preserve"> households</w:t>
      </w:r>
      <w:bookmarkEnd w:id="25"/>
      <w:r w:rsidR="009468F6" w:rsidRPr="003515F5">
        <w:t xml:space="preserve"> </w:t>
      </w:r>
      <w:r w:rsidR="00644B00" w:rsidRPr="003515F5">
        <w:t>(1-</w:t>
      </w:r>
      <m:oMath>
        <m:r>
          <w:rPr>
            <w:rFonts w:ascii="Cambria Math" w:hAnsi="Cambria Math"/>
          </w:rPr>
          <m:t>τ</m:t>
        </m:r>
        <m:r>
          <m:rPr>
            <m:sty m:val="p"/>
          </m:rPr>
          <w:rPr>
            <w:rFonts w:ascii="Cambria Math" w:hAnsi="Cambria Math"/>
          </w:rPr>
          <m:t>)</m:t>
        </m:r>
      </m:oMath>
      <w:r w:rsidR="00644B00" w:rsidRPr="003515F5">
        <w:t xml:space="preserve"> </w:t>
      </w:r>
      <w:r w:rsidR="009468F6" w:rsidRPr="003515F5">
        <w:t xml:space="preserve">at 31.2%, </w:t>
      </w:r>
      <w:r>
        <w:t xml:space="preserve">based on </w:t>
      </w:r>
      <w:r w:rsidR="00555DC6" w:rsidRPr="009070DF">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{"citationID":"IDKpokdG","properties":{"formattedCitation":"Cohen and Ilek (2024)","plainCitation":"Cohen and Ilek (2024)","noteIndex":0},"citationItems":[{"id":1561,"uris":["http://zotero.org/users/6680486/items/MXHTM5XU"],"itemData":{"id":1561,"type":"manuscript","citation-key":"cohenEstimateShareFinancially2024","genre":"Unpublished Memo","language":"hebrew","note":"</w:instrText>
      </w:r>
      <w:r w:rsidR="00EC7FDA">
        <w:rPr>
          <w:rFonts w:asciiTheme="majorHAnsi" w:hAnsiTheme="majorHAnsi" w:cs="David" w:hint="cs"/>
          <w:color w:val="0081AD"/>
          <w:rtl/>
          <w:lang w:bidi="he-IL"/>
        </w:rPr>
        <w:instrText>משקי</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בית</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מוגבלים</w:instrText>
      </w:r>
      <w:r w:rsidR="00EC7FDA">
        <w:rPr>
          <w:rFonts w:asciiTheme="majorHAnsi" w:hAnsiTheme="majorHAnsi" w:cs="David"/>
          <w:color w:val="0081AD"/>
          <w:rtl/>
          <w:lang w:bidi="he-IL"/>
        </w:rPr>
        <w:instrText xml:space="preserve"> 13_03_2024</w:instrText>
      </w:r>
      <w:r w:rsidR="00EC7FDA">
        <w:rPr>
          <w:rFonts w:asciiTheme="majorHAnsi" w:hAnsiTheme="majorHAnsi" w:cs="David"/>
          <w:color w:val="0081AD"/>
          <w:lang w:bidi="he-IL"/>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00555DC6" w:rsidRPr="009070DF">
        <w:rPr>
          <w:rFonts w:asciiTheme="majorHAnsi" w:hAnsiTheme="majorHAnsi" w:cs="David"/>
          <w:color w:val="0081AD"/>
          <w:lang w:bidi="he-IL"/>
        </w:rPr>
        <w:fldChar w:fldCharType="separate"/>
      </w:r>
      <w:r w:rsidR="00EC7FDA" w:rsidRPr="00DE590B">
        <w:rPr>
          <w:rFonts w:asciiTheme="majorHAnsi" w:hAnsiTheme="majorHAnsi" w:cs="David"/>
          <w:color w:val="0081AD"/>
          <w:lang w:bidi="he-IL"/>
        </w:rPr>
        <w:t>Cohen and Ilek (2024)</w:t>
      </w:r>
      <w:r w:rsidR="00555DC6" w:rsidRPr="009070DF">
        <w:rPr>
          <w:rFonts w:asciiTheme="majorHAnsi" w:hAnsiTheme="majorHAnsi" w:cs="David"/>
          <w:color w:val="0081AD"/>
          <w:lang w:bidi="he-IL"/>
        </w:rPr>
        <w:fldChar w:fldCharType="end"/>
      </w:r>
      <w:r w:rsidR="009468F6" w:rsidRPr="003515F5">
        <w:t>.</w:t>
      </w:r>
      <w:r w:rsidR="00B90F09" w:rsidRPr="003515F5">
        <w:t xml:space="preserve"> </w:t>
      </w:r>
      <w:r w:rsidR="00DB0807" w:rsidRPr="003515F5">
        <w:t>The corresponding effective LTV ratio is set at 66%, as calculated by</w:t>
      </w:r>
      <w:r w:rsidR="00170B6E" w:rsidRPr="003515F5">
        <w:t xml:space="preserve"> the same study. </w:t>
      </w:r>
      <w:r w:rsidR="00CF4CC2" w:rsidRPr="003515F5">
        <w:t xml:space="preserve"> Below, we explain this calibration.</w:t>
      </w:r>
    </w:p>
    <w:p w14:paraId="0E69DBCD" w14:textId="43E345C3" w:rsidR="00127353" w:rsidRDefault="001A66DC" w:rsidP="00EC7FDA">
      <w:pPr>
        <w:pStyle w:val="BodyText"/>
      </w:pPr>
      <w:r w:rsidRPr="00397E43">
        <w:t>Veteran debt holders</w:t>
      </w:r>
      <w:r w:rsidR="005C6FF8" w:rsidRPr="00397E43">
        <w:t>,</w:t>
      </w:r>
      <w:r w:rsidRPr="00397E43">
        <w:t xml:space="preserve"> who are far from the debt limit</w:t>
      </w:r>
      <w:r w:rsidR="005C6FF8" w:rsidRPr="00397E43">
        <w:t>,</w:t>
      </w:r>
      <w:r w:rsidRPr="00397E43">
        <w:t xml:space="preserve"> are </w:t>
      </w:r>
      <w:r w:rsidR="005C6FF8" w:rsidRPr="00397E43">
        <w:t xml:space="preserve">unaffected </w:t>
      </w:r>
      <w:r w:rsidRPr="00397E43">
        <w:t xml:space="preserve">by changes in </w:t>
      </w:r>
      <w:r w:rsidR="005C6FF8" w:rsidRPr="00397E43">
        <w:t xml:space="preserve">the </w:t>
      </w:r>
      <w:r w:rsidRPr="00397E43">
        <w:t xml:space="preserve">LTV ratios, </w:t>
      </w:r>
      <w:r w:rsidR="005C6FF8" w:rsidRPr="00397E43">
        <w:t>unless seeking new debt or refinancing</w:t>
      </w:r>
      <w:r w:rsidR="00D105EB" w:rsidRPr="00397E43">
        <w:t xml:space="preserve">, so they are not classified as financially constrained. </w:t>
      </w:r>
      <w:r w:rsidRPr="00397E43">
        <w:t xml:space="preserve">In contrast, households near the debt limit face difficulties in obtaining additional </w:t>
      </w:r>
      <w:r w:rsidR="008A4BEE" w:rsidRPr="00397E43">
        <w:t>credit and</w:t>
      </w:r>
      <w:r w:rsidR="00587154" w:rsidRPr="00397E43">
        <w:t xml:space="preserve"> are classified as financially constrained. </w:t>
      </w:r>
      <w:r w:rsidRPr="00397E43">
        <w:t xml:space="preserve">We calibrate the </w:t>
      </w:r>
      <w:r w:rsidR="00BC4679" w:rsidRPr="00397E43">
        <w:t xml:space="preserve">parameters of the </w:t>
      </w:r>
      <w:r w:rsidRPr="00397E43">
        <w:t>model accordingly, based on a long-term survey (</w:t>
      </w:r>
      <w:r w:rsidRPr="006A39DA">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{"citationID":"OfOezGbG","properties":{"formattedCitation":"Cohen and Ilek (2024)","plainCitation":"Cohen and Ilek (2024)","noteIndex":0},"citationItems":[{"id":1561,"uris":["http://zotero.org/users/6680486/items/MXHTM5XU"],"itemData":{"id":1561,"type":"manuscript","citation-key":"cohenEstimateShareFinancially2024","genre":"Unpublished Memo","language":"hebrew","note":"</w:instrText>
      </w:r>
      <w:r w:rsidR="00EC7FDA">
        <w:rPr>
          <w:rFonts w:asciiTheme="majorHAnsi" w:hAnsiTheme="majorHAnsi" w:cs="David" w:hint="cs"/>
          <w:color w:val="0081AD"/>
          <w:rtl/>
          <w:lang w:bidi="he-IL"/>
        </w:rPr>
        <w:instrText>משקי</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בית</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מוגבלים</w:instrText>
      </w:r>
      <w:r w:rsidR="00EC7FDA">
        <w:rPr>
          <w:rFonts w:asciiTheme="majorHAnsi" w:hAnsiTheme="majorHAnsi" w:cs="David"/>
          <w:color w:val="0081AD"/>
          <w:rtl/>
          <w:lang w:bidi="he-IL"/>
        </w:rPr>
        <w:instrText xml:space="preserve"> 13_03_2024</w:instrText>
      </w:r>
      <w:r w:rsidR="00EC7FDA">
        <w:rPr>
          <w:rFonts w:asciiTheme="majorHAnsi" w:hAnsiTheme="majorHAnsi" w:cs="David"/>
          <w:color w:val="0081AD"/>
          <w:lang w:bidi="he-IL"/>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Pr="006A39DA">
        <w:rPr>
          <w:rFonts w:asciiTheme="majorHAnsi" w:hAnsiTheme="majorHAnsi" w:cs="David"/>
          <w:color w:val="0081AD"/>
          <w:lang w:bidi="he-IL"/>
        </w:rPr>
        <w:fldChar w:fldCharType="separate"/>
      </w:r>
      <w:r w:rsidR="00EC7FDA" w:rsidRPr="00D83F0C">
        <w:rPr>
          <w:rFonts w:asciiTheme="majorHAnsi" w:hAnsiTheme="majorHAnsi" w:cs="David"/>
          <w:color w:val="0081AD"/>
          <w:lang w:bidi="he-IL"/>
        </w:rPr>
        <w:t>Cohen and Ilek (2024)</w:t>
      </w:r>
      <w:r w:rsidRPr="006A39DA">
        <w:rPr>
          <w:rFonts w:asciiTheme="majorHAnsi" w:hAnsiTheme="majorHAnsi" w:cs="David"/>
          <w:color w:val="0081AD"/>
          <w:lang w:bidi="he-IL"/>
        </w:rPr>
        <w:fldChar w:fldCharType="end"/>
      </w:r>
      <w:r w:rsidRPr="00623481">
        <w:t>)</w:t>
      </w:r>
      <w:r w:rsidRPr="00397E43">
        <w:t>. In practice, the model is calibrated so that debt limit affects about 3</w:t>
      </w:r>
      <w:r w:rsidR="00544B09" w:rsidRPr="00397E43">
        <w:t>1.</w:t>
      </w:r>
      <w:r w:rsidRPr="00397E43">
        <w:t>2% of Israel's population. This group consists of two sub-groups:</w:t>
      </w:r>
    </w:p>
    <w:p w14:paraId="0E22030B" w14:textId="6480B963" w:rsidR="001154F5" w:rsidRDefault="001A66DC" w:rsidP="001154F5">
      <w:pPr>
        <w:pStyle w:val="BodyText"/>
      </w:pPr>
      <w:r w:rsidRPr="00EC48AC">
        <w:t>1</w:t>
      </w:r>
      <w:r w:rsidR="008A4BEE">
        <w:t>.</w:t>
      </w:r>
      <w:r w:rsidRPr="00EC48AC">
        <w:t xml:space="preserve"> Households</w:t>
      </w:r>
      <w:r w:rsidR="008A4BEE">
        <w:t xml:space="preserve"> that </w:t>
      </w:r>
      <w:r w:rsidR="008A4BEE" w:rsidRPr="00EC48AC">
        <w:t>are unable</w:t>
      </w:r>
      <w:r w:rsidRPr="00EC48AC">
        <w:t xml:space="preserve"> to purchase a home due to insufficient equity (approximately 25% of the population). </w:t>
      </w:r>
      <w:r w:rsidR="002C6C42" w:rsidRPr="00EC48AC">
        <w:t>For</w:t>
      </w:r>
      <w:r w:rsidRPr="00EC48AC">
        <w:t xml:space="preserve"> </w:t>
      </w:r>
      <w:r w:rsidR="002C6C42" w:rsidRPr="00EC48AC">
        <w:t xml:space="preserve">them </w:t>
      </w:r>
      <w:r w:rsidRPr="00EC48AC">
        <w:t>the effective LTV limit is around 75%.</w:t>
      </w:r>
      <w:r>
        <w:t xml:space="preserve"> </w:t>
      </w:r>
    </w:p>
    <w:p w14:paraId="49DB7FFB" w14:textId="586DB262" w:rsidR="00127353" w:rsidRPr="00EC48AC" w:rsidRDefault="001A66DC" w:rsidP="001154F5">
      <w:pPr>
        <w:pStyle w:val="BodyText"/>
      </w:pPr>
      <w:r w:rsidRPr="00EC48AC">
        <w:t>2</w:t>
      </w:r>
      <w:r w:rsidR="008A4BEE">
        <w:t>.</w:t>
      </w:r>
      <w:r w:rsidRPr="00EC48AC">
        <w:t xml:space="preserve"> Homeowners </w:t>
      </w:r>
      <w:r w:rsidR="007E24A3" w:rsidRPr="00EC48AC">
        <w:t xml:space="preserve">with existing mortgages </w:t>
      </w:r>
      <w:r w:rsidRPr="00EC48AC">
        <w:t xml:space="preserve">who </w:t>
      </w:r>
      <w:r w:rsidR="007E24A3" w:rsidRPr="00EC48AC">
        <w:t>r</w:t>
      </w:r>
      <w:r w:rsidRPr="00EC48AC">
        <w:t xml:space="preserve">emain financially constrained (about 7% of </w:t>
      </w:r>
      <w:r w:rsidR="007E24A3" w:rsidRPr="00EC48AC">
        <w:t>t</w:t>
      </w:r>
      <w:r w:rsidRPr="00EC48AC">
        <w:t xml:space="preserve">he population). For them, the </w:t>
      </w:r>
      <w:r w:rsidR="00D13D3A" w:rsidRPr="00EC48AC">
        <w:t>effective</w:t>
      </w:r>
      <w:r w:rsidR="007E24A3" w:rsidRPr="00EC48AC">
        <w:t xml:space="preserve"> </w:t>
      </w:r>
      <w:r w:rsidRPr="00EC48AC">
        <w:t>LTV limit is about 50%</w:t>
      </w:r>
      <w:r w:rsidR="008D5017" w:rsidRPr="00EC48AC">
        <w:t xml:space="preserve"> </w:t>
      </w:r>
      <w:r w:rsidRPr="003C31AE">
        <w:rPr>
          <w:rStyle w:val="FootnoteReference"/>
        </w:rPr>
        <w:footnoteReference w:id="9"/>
      </w:r>
      <w:r w:rsidRPr="00EC48AC">
        <w:t xml:space="preserve"> if they wish to increase </w:t>
      </w:r>
      <w:r w:rsidR="007E24A3" w:rsidRPr="00EC48AC">
        <w:t>home-backed debt.</w:t>
      </w:r>
    </w:p>
    <w:p w14:paraId="04C9A8DD" w14:textId="77777777" w:rsidR="003449B3" w:rsidRDefault="001A66DC" w:rsidP="003449B3">
      <w:pPr>
        <w:pStyle w:val="BodyText"/>
      </w:pPr>
      <w:r w:rsidRPr="00EC48AC">
        <w:t>The effective LTV in the model is a weighted average of the limits for these two groups.</w:t>
      </w:r>
    </w:p>
    <w:p w14:paraId="475FD03F" w14:textId="3954EB19" w:rsidR="00567A4B" w:rsidRDefault="001A66DC" w:rsidP="009E6693">
      <w:pPr>
        <w:pStyle w:val="BodyText"/>
      </w:pPr>
      <w:r>
        <w:t xml:space="preserve">We set the repayment rate of debt principal at 5% per period. This rate is calibrated to match the steady-state share of new debt in the total stock of debt (as detailed in Section 4.1.1). This calibration aligns with empirical observations, where the average ratio of new mortgage value to total housing debt value is approximately 5%. </w:t>
      </w:r>
    </w:p>
    <w:p w14:paraId="41C4CFF0" w14:textId="3247D467" w:rsidR="00850D7B" w:rsidRDefault="001A66DC" w:rsidP="005D63BC">
      <w:pPr>
        <w:pStyle w:val="BodyText"/>
      </w:pPr>
      <w:r>
        <w:t xml:space="preserve">Due to the lack of specific indicators for Israel, we rely on values from international literature to calibrate certain parameters. Specifically, we set the ratio of existing home </w:t>
      </w:r>
      <w:r w:rsidR="00937073">
        <w:t xml:space="preserve">net </w:t>
      </w:r>
      <w:r>
        <w:t xml:space="preserve">equity that is </w:t>
      </w:r>
      <w:r w:rsidR="00937073">
        <w:t xml:space="preserve">used for new loans </w:t>
      </w:r>
      <w:r>
        <w:t>(</w:t>
      </w:r>
      <m:oMath>
        <m:r>
          <m:rPr>
            <m:sty m:val="p"/>
          </m:rPr>
          <w:rPr>
            <w:rFonts w:ascii="Cambria Math" w:hAnsi="Cambria Math"/>
          </w:rPr>
          <m:t>κ</m:t>
        </m:r>
      </m:oMath>
      <w:r>
        <w:t xml:space="preserve">) to 0.0172. This </w:t>
      </w:r>
      <w:r>
        <w:lastRenderedPageBreak/>
        <w:t>calibration is based on the findings of</w:t>
      </w:r>
      <w:r w:rsidR="008A4BEE">
        <w:t xml:space="preserve"> </w:t>
      </w:r>
      <w:r w:rsidR="008A4BEE" w:rsidRPr="005D63BC">
        <w:rPr>
          <w:color w:val="0081AD"/>
        </w:rPr>
        <w:fldChar w:fldCharType="begin"/>
      </w:r>
      <w:r w:rsidR="005D63BC" w:rsidRPr="005D63BC">
        <w:rPr>
          <w:color w:val="0081AD"/>
        </w:rPr>
        <w:instrText xml:space="preserve"> ADDIN ZOTERO_ITEM CSL_CITATION {"citationID":"D4ftw509","properties":{"unsorted":false,"formattedCitation":"Alpanda and Zubairy (2017)","plainCitation":"Alpanda and Zubairy (2017)","noteIndex":0},"citationItems":[{"id":1669,"uris":["http://zotero.org/users/6680486/items/TMZEX3Q5"],"itemData":{"id":1669,"type":"article-journal","abstract":"In this paper, we build a dynamic stochastic general-equilibrium model with housing and household debt, and compare the e</w:instrText>
      </w:r>
      <w:r w:rsidR="005D63BC" w:rsidRPr="005D63BC">
        <w:rPr>
          <w:rFonts w:ascii="Arial" w:hAnsi="Arial" w:cs="Arial"/>
          <w:color w:val="0081AD"/>
        </w:rPr>
        <w:instrText>ﬀ</w:instrText>
      </w:r>
      <w:r w:rsidR="005D63BC" w:rsidRPr="005D63BC">
        <w:rPr>
          <w:color w:val="0081AD"/>
        </w:rPr>
        <w:instrText xml:space="preserve">ectiveness of monetary policy, housing-related </w:instrText>
      </w:r>
      <w:r w:rsidR="005D63BC" w:rsidRPr="005D63BC">
        <w:rPr>
          <w:rFonts w:ascii="Utopia" w:hAnsi="Utopia" w:cs="Utopia"/>
          <w:color w:val="0081AD"/>
        </w:rPr>
        <w:instrText>ﬁ</w:instrText>
      </w:r>
      <w:r w:rsidR="005D63BC" w:rsidRPr="005D63BC">
        <w:rPr>
          <w:color w:val="0081AD"/>
        </w:rPr>
        <w:instrText>scal policy, and macroprudential regulations in reducing household indebtedness. Excessive household debt arises due to exuberance shocks on house price expectations, which drive a wedge between the actual and the underlying fundamental value of houses. The estimated model also features longterm ﬁxed-rate borrowing and lending across two types of households, and di</w:instrText>
      </w:r>
      <w:r w:rsidR="005D63BC" w:rsidRPr="005D63BC">
        <w:rPr>
          <w:rFonts w:ascii="Arial" w:hAnsi="Arial" w:cs="Arial"/>
          <w:color w:val="0081AD"/>
        </w:rPr>
        <w:instrText>ﬀ</w:instrText>
      </w:r>
      <w:r w:rsidR="005D63BC" w:rsidRPr="005D63BC">
        <w:rPr>
          <w:color w:val="0081AD"/>
        </w:rPr>
        <w:instrText xml:space="preserve">erentiates between the </w:instrText>
      </w:r>
      <w:r w:rsidR="005D63BC" w:rsidRPr="005D63BC">
        <w:rPr>
          <w:rFonts w:ascii="Utopia" w:hAnsi="Utopia" w:cs="Utopia"/>
          <w:color w:val="0081AD"/>
        </w:rPr>
        <w:instrText>ﬂ</w:instrText>
      </w:r>
      <w:r w:rsidR="005D63BC" w:rsidRPr="005D63BC">
        <w:rPr>
          <w:color w:val="0081AD"/>
        </w:rPr>
        <w:instrText xml:space="preserve">ow and the stock of household debt. Our main </w:instrText>
      </w:r>
      <w:r w:rsidR="005D63BC" w:rsidRPr="005D63BC">
        <w:rPr>
          <w:rFonts w:ascii="Utopia" w:hAnsi="Utopia" w:cs="Utopia"/>
          <w:color w:val="0081AD"/>
        </w:rPr>
        <w:instrText>ﬁ</w:instrText>
      </w:r>
      <w:r w:rsidR="005D63BC" w:rsidRPr="005D63BC">
        <w:rPr>
          <w:color w:val="0081AD"/>
        </w:rPr>
        <w:instrText>ndings can be summarized as follows: (i) Monetary tightening is able to reduce the stock of real mortgage debt, but leads to an increase in the household debt-to-income ratio. (ii) Among the policy tools we consider, tightening in mortgage interest deduction and regulatory loan-to-value (LTV) are the most e</w:instrText>
      </w:r>
      <w:r w:rsidR="005D63BC" w:rsidRPr="005D63BC">
        <w:rPr>
          <w:rFonts w:ascii="Arial" w:hAnsi="Arial" w:cs="Arial"/>
          <w:color w:val="0081AD"/>
        </w:rPr>
        <w:instrText>ﬀ</w:instrText>
      </w:r>
      <w:r w:rsidR="005D63BC" w:rsidRPr="005D63BC">
        <w:rPr>
          <w:color w:val="0081AD"/>
        </w:rPr>
        <w:instrText>ective and least costly in reducing household debt, followed by increasing property taxes and monetary tightening. (iii) Although mortgage interest deduction is a broader tool than regulatory LTV, and therefore potentially more costly in terms of output loss, it is e</w:instrText>
      </w:r>
      <w:r w:rsidR="005D63BC" w:rsidRPr="005D63BC">
        <w:rPr>
          <w:rFonts w:ascii="Arial" w:hAnsi="Arial" w:cs="Arial"/>
          <w:color w:val="0081AD"/>
        </w:rPr>
        <w:instrText>ﬀ</w:instrText>
      </w:r>
      <w:r w:rsidR="005D63BC" w:rsidRPr="005D63BC">
        <w:rPr>
          <w:color w:val="0081AD"/>
        </w:rPr>
        <w:instrText xml:space="preserve">ective in reducing overall mortgage debt, since its direct reach also extends to home equity loans. (iv) Lowering regulatory LTV and mortgage interest deductions from their current levels would be welfare improving, while we ﬁnd weak support for systematic leaning against household imbalances through monetary policy.","citation-key":"alpandaAddressingHouseholdIndebtedness2017","container-title":"European Economic Review","DOI":"10.1016/j.euroecorev.2016.11.004","ISSN":"00142921","journalAbbreviation":"European Economic Review","language":"en","page":"47-73","source":"DOI.org (Crossref)","title":"Addressing Household Indebtedness: Monetary, Fiscal or Macroprudential Policy?","title-short":"Addressing household indebtedness","volume":"92","author":[{"family":"Alpanda","given":"Sami"},{"family":"Zubairy","given":"Sarah"}],"issued":{"date-parts":[["2017",2]]}}}],"schema":"https://github.com/citation-style-language/schema/raw/master/csl-citation.json"} </w:instrText>
      </w:r>
      <w:r w:rsidR="008A4BEE" w:rsidRPr="005D63BC">
        <w:rPr>
          <w:color w:val="0081AD"/>
        </w:rPr>
        <w:fldChar w:fldCharType="separate"/>
      </w:r>
      <w:r w:rsidR="005D63BC" w:rsidRPr="005D63BC">
        <w:rPr>
          <w:rFonts w:ascii="Utopia" w:hAnsi="Utopia"/>
          <w:color w:val="0081AD"/>
        </w:rPr>
        <w:t>Alpanda and Zubairy (2017)</w:t>
      </w:r>
      <w:r w:rsidR="008A4BEE" w:rsidRPr="005D63BC">
        <w:rPr>
          <w:color w:val="0081AD"/>
        </w:rPr>
        <w:fldChar w:fldCharType="end"/>
      </w:r>
      <w:r>
        <w:t xml:space="preserve">, who conducted a study on housing in the United States. </w:t>
      </w:r>
    </w:p>
    <w:p w14:paraId="3669F5DE" w14:textId="5B58B8EF" w:rsidR="00FC5BC6" w:rsidRDefault="001A66DC" w:rsidP="00EC7FDA">
      <w:pPr>
        <w:pStyle w:val="BodyText"/>
      </w:pPr>
      <w:r>
        <w:t>L</w:t>
      </w:r>
      <w:r w:rsidR="00D02535" w:rsidRPr="00EC48AC">
        <w:t>enders (patient households)</w:t>
      </w:r>
      <w:r w:rsidR="00E348B9" w:rsidRPr="00EC48AC">
        <w:t xml:space="preserve"> have a discount factor</w:t>
      </w:r>
      <w:r w:rsidR="0037670D" w:rsidRPr="00EC48AC">
        <w:t xml:space="preserve"> </w:t>
      </w:r>
      <m:oMath>
        <m:r>
          <w:rPr>
            <w:rFonts w:ascii="Cambria Math" w:hAnsi="Cambria Math"/>
          </w:rPr>
          <m:t>β=0.99</m:t>
        </m:r>
      </m:oMath>
      <w:r w:rsidR="00CF6BB7" w:rsidRPr="00EC48AC">
        <w:t>,</w:t>
      </w:r>
      <w:r w:rsidR="00D02535" w:rsidRPr="00EC48AC">
        <w:t xml:space="preserve"> </w:t>
      </w:r>
      <w:r w:rsidR="00E348B9" w:rsidRPr="00EC48AC">
        <w:t>while</w:t>
      </w:r>
      <w:r w:rsidR="00D02535" w:rsidRPr="00EC48AC">
        <w:t xml:space="preserve"> </w:t>
      </w:r>
      <w:r w:rsidR="00E348B9" w:rsidRPr="00EC48AC">
        <w:t>b</w:t>
      </w:r>
      <w:r w:rsidR="00D02535" w:rsidRPr="00EC48AC">
        <w:t>orrowers (impatient households) have a discount factor</w:t>
      </w:r>
      <w:r w:rsidR="0037670D" w:rsidRPr="00EC48AC">
        <w:t xml:space="preserve"> </w:t>
      </w: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=0.975</m:t>
        </m:r>
      </m:oMath>
      <w:r w:rsidR="00E348B9" w:rsidRPr="00EC48AC">
        <w:t>.</w:t>
      </w:r>
      <w:r w:rsidR="00D02535" w:rsidRPr="00EC48AC">
        <w:t xml:space="preserve"> </w:t>
      </w:r>
      <w:r w:rsidR="009E237F" w:rsidRPr="00EC48AC">
        <w:t>Th</w:t>
      </w:r>
      <w:r w:rsidR="00E6747A" w:rsidRPr="00EC48AC">
        <w:t>e</w:t>
      </w:r>
      <w:r w:rsidR="009E237F" w:rsidRPr="00EC48AC">
        <w:t>s</w:t>
      </w:r>
      <w:r w:rsidR="00E6747A" w:rsidRPr="00EC48AC">
        <w:t>e</w:t>
      </w:r>
      <w:r w:rsidR="009E237F" w:rsidRPr="00EC48AC">
        <w:t xml:space="preserve"> value</w:t>
      </w:r>
      <w:r w:rsidR="00E6747A" w:rsidRPr="00EC48AC">
        <w:t>s</w:t>
      </w:r>
      <w:r w:rsidR="009E237F" w:rsidRPr="00EC48AC">
        <w:t xml:space="preserve"> ha</w:t>
      </w:r>
      <w:r w:rsidR="00E6747A" w:rsidRPr="00EC48AC">
        <w:t>ve</w:t>
      </w:r>
      <w:r w:rsidR="009E237F" w:rsidRPr="00EC48AC">
        <w:t xml:space="preserve"> </w:t>
      </w:r>
      <w:r w:rsidR="00E6747A" w:rsidRPr="00EC48AC">
        <w:t xml:space="preserve">a </w:t>
      </w:r>
      <w:r w:rsidR="00C523D2" w:rsidRPr="00EC48AC">
        <w:t>tiny</w:t>
      </w:r>
      <w:r w:rsidR="00804D3B" w:rsidRPr="00EC48AC">
        <w:t xml:space="preserve"> </w:t>
      </w:r>
      <w:r w:rsidR="009E237F" w:rsidRPr="00EC48AC">
        <w:t>impact on dynamics but ensure that impatient households are sufficiently close to the borrowing limit, creating a strong enough impatience motive. This allows for accurate linearization around a steady state with a binding borrowing limit</w:t>
      </w:r>
      <w:r w:rsidRPr="00EC48AC">
        <w:t xml:space="preserve"> (</w:t>
      </w:r>
      <w:r w:rsidRPr="00C439AA">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{"citationID":"CxxIIiqK","properties":{"formattedCitation":"Iacoviello (2005); Iacoviello and Neri (2010)","plainCitation":"Iacoviello (2005); Iacoviello and Neri (2010)","noteIndex":0},"citationItems":[{"id":2486,"uris":["http://zotero.org/users/6680486/items/DX6MWSIG"],"itemData":{"id":2486,"type":"article-journal","abstract":"I develop and estimate a monetary business cycle model with nominal loans and collateral constraints tied to housing values. Demand shocks move housing and nominal prices in the same direction, and are amplified and propagated over time. The financial accelerator is not uniform: nominal debt dampens supply shocks, stabilizing the economy under interest rate control. Structural estimation supports two key model features: collateral effects dramatically improve the response of aggregate demand to housing price shocks; and nominal debt improves the sluggish response of output to inflation surprises. Finally, policy evaluation considers the role of house prices and debt indexation in affecting monetary policy trade-offs.","citation-key":"Iacoviello_2005","container-title":"American Economic Review","DOI":"10.1257/0002828054201477","ISSN":"0002-8282","issue":"3","journalAbbreviation":"American Economic Review","language":"en","page":"739-764","source":"DOI.org (Crossref)","title":"House Prices, Borrowing Constraints, and Monetary Policy in the Business Cycle","volume":"95","author":[{"family":"Iacoviello","given":"Matteo"}],"issued":{"date-parts":[["2005",5,1]]}}},{"id":1889,"uris":["http://zotero.org/users/6680486/items/6ES4R79E"],"itemData":{"id":1889,"type":"article-journal","abstract":"We study sources and consequences of fluctuations in the US housing market. Slow technological progress in the housing sector explains the upward trend in real housing prices of the last 40 years. Over the business cycle, housing demand and housing technology shocks explain one-quarter each of the volatility of housing investment and housing prices. Monetary factors explain less than 20 percent, but have played a bigger role in the housing cycle at the turn of the century. We show that the housing market spillovers are nonnegligible, concentrated on consumption rather than business investment, and have become more important over time. (JEL E23, E32, E44, O33, R31)","citation-key":"iacovielloHousingMarketSpillovers2010","container-title":"American Economic Journal: Macroeconomics","DOI":"10.1257/mac.2.2.125","ISSN":"1945-7707, 1945-7715","issue":"2","journalAbbreviation":"American Economic Journal: Macroeconomics","language":"en","page":"125-164","source":"DOI.org (Crossref)","title":"Housing Market Spillovers: Evidence from an Estimated DSGE Model","title-short":"Housing Market Spillovers","volume":"2","author":[{"family":"Iacoviello","given":"Matteo"},{"family":"Neri","given":"Stefano"}],"issued":{"date-parts":[["2010",4,1]]}}}],"schema":"https://github.com/citation-style-language/schema/raw/master/csl-citation.json"} </w:instrText>
      </w:r>
      <w:r w:rsidRPr="00C439AA">
        <w:rPr>
          <w:rFonts w:asciiTheme="majorHAnsi" w:hAnsiTheme="majorHAnsi" w:cs="David"/>
          <w:color w:val="0081AD"/>
          <w:lang w:bidi="he-IL"/>
        </w:rPr>
        <w:fldChar w:fldCharType="separate"/>
      </w:r>
      <w:r w:rsidR="00EC7FDA" w:rsidRPr="005A709A">
        <w:rPr>
          <w:rFonts w:asciiTheme="majorHAnsi" w:hAnsiTheme="majorHAnsi" w:cs="David"/>
          <w:color w:val="0081AD"/>
          <w:lang w:bidi="he-IL"/>
        </w:rPr>
        <w:t>Iacoviello (2005)</w:t>
      </w:r>
      <w:r w:rsidR="00EC7FDA" w:rsidRPr="00A131C1">
        <w:t>;</w:t>
      </w:r>
      <w:r w:rsidR="00EC7FDA" w:rsidRPr="00EC7FDA">
        <w:rPr>
          <w:rFonts w:ascii="Utopia" w:hAnsi="Utopia"/>
        </w:rPr>
        <w:t xml:space="preserve"> </w:t>
      </w:r>
      <w:r w:rsidR="00EC7FDA" w:rsidRPr="005A709A">
        <w:rPr>
          <w:rFonts w:asciiTheme="majorHAnsi" w:hAnsiTheme="majorHAnsi" w:cs="David"/>
          <w:color w:val="0081AD"/>
          <w:lang w:bidi="he-IL"/>
        </w:rPr>
        <w:t>Iacoviello and Neri (2010)</w:t>
      </w:r>
      <w:r w:rsidRPr="00C439AA">
        <w:rPr>
          <w:rFonts w:asciiTheme="majorHAnsi" w:hAnsiTheme="majorHAnsi" w:cs="David"/>
          <w:color w:val="0081AD"/>
          <w:lang w:bidi="he-IL"/>
        </w:rPr>
        <w:fldChar w:fldCharType="end"/>
      </w:r>
      <w:r w:rsidRPr="00EC48AC">
        <w:t>).</w:t>
      </w:r>
    </w:p>
    <w:p w14:paraId="1A0A0AA9" w14:textId="77777777" w:rsidR="00DB0807" w:rsidRDefault="001A66DC">
      <w:pPr>
        <w:pStyle w:val="BodyText"/>
      </w:pPr>
      <w:r w:rsidRPr="00066C36">
        <w:t>B</w:t>
      </w:r>
      <w:r w:rsidR="00D009A3" w:rsidRPr="00066C36">
        <w:t xml:space="preserve">orrowers encounter a </w:t>
      </w:r>
      <w:r w:rsidR="006B4176">
        <w:t xml:space="preserve">fixed </w:t>
      </w:r>
      <w:r w:rsidR="00D009A3" w:rsidRPr="00066C36">
        <w:t>mortgage</w:t>
      </w:r>
      <w:r w:rsidR="00066C36" w:rsidRPr="00066C36">
        <w:t xml:space="preserve"> </w:t>
      </w:r>
      <w:r w:rsidR="00D009A3" w:rsidRPr="00066C36">
        <w:t>interest rate spread</w:t>
      </w:r>
      <m:oMath>
        <m:r>
          <m:rPr>
            <m:nor/>
          </m:rPr>
          <w:rPr>
            <w:rFonts w:ascii="Cambria Math" w:hAnsi="Cambria" w:cs="Cambria"/>
          </w:rPr>
          <m:t xml:space="preserve"> </m:t>
        </m:r>
        <m:r>
          <m:rPr>
            <m:nor/>
          </m:rPr>
          <w:rPr>
            <w:rFonts w:ascii="Cambria" w:hAnsi="Cambria" w:cs="Cambria"/>
            <w:i/>
            <w:iCs/>
          </w:rPr>
          <m:t>ω</m:t>
        </m:r>
      </m:oMath>
      <w:r w:rsidR="00D009A3" w:rsidRPr="00066C36">
        <w:t xml:space="preserve"> of 1.5% annually (0.375% quarterly), aligned with the average mortgage rate spread in Israel.</w:t>
      </w:r>
      <w:r w:rsidR="00E23B11" w:rsidRPr="00066C36">
        <w:t xml:space="preserve"> </w:t>
      </w:r>
    </w:p>
    <w:p w14:paraId="0E47B40A" w14:textId="7D76C8F0" w:rsidR="00A3286C" w:rsidRDefault="001A66DC" w:rsidP="00EC7FDA">
      <w:pPr>
        <w:pStyle w:val="BodyText"/>
      </w:pPr>
      <w:r w:rsidRPr="00066C36">
        <w:t xml:space="preserve">The </w:t>
      </w:r>
      <w:r w:rsidR="00B112A0" w:rsidRPr="00066C36">
        <w:t xml:space="preserve">CPI </w:t>
      </w:r>
      <w:r w:rsidRPr="00066C36">
        <w:t>inflation</w:t>
      </w:r>
      <w:r w:rsidR="00D0263D" w:rsidRPr="00066C36">
        <w:t xml:space="preserve"> (excluding</w:t>
      </w:r>
      <w:r w:rsidR="00B112A0" w:rsidRPr="00066C36">
        <w:t xml:space="preserve"> rent)</w:t>
      </w:r>
      <w:r w:rsidRPr="00066C36">
        <w:t xml:space="preserve"> i</w:t>
      </w:r>
      <w:r w:rsidR="00B112A0" w:rsidRPr="00066C36">
        <w:t>ndexation</w:t>
      </w:r>
      <w:r w:rsidR="00E142B7" w:rsidRPr="00066C36">
        <w:t xml:space="preserve"> parameter</w:t>
      </w:r>
      <w:r w:rsidR="00B112A0" w:rsidRPr="00066C36">
        <w:t xml:space="preserve"> </w:t>
      </w:r>
      <m:oMath>
        <m:r>
          <m:rPr>
            <m:sty m:val="p"/>
          </m:rPr>
          <w:rPr>
            <w:rFonts w:ascii="Cambria Math" w:hAnsi="Cambria Math"/>
          </w:rPr>
          <m:t>ϖ</m:t>
        </m:r>
      </m:oMath>
      <w:r w:rsidR="00E142B7" w:rsidRPr="00066C36">
        <w:t xml:space="preserve"> is set at 0.3,</w:t>
      </w:r>
      <w:r w:rsidRPr="00066C36">
        <w:t xml:space="preserve"> </w:t>
      </w:r>
      <w:r w:rsidR="00D0263D" w:rsidRPr="00066C36">
        <w:t xml:space="preserve">which is </w:t>
      </w:r>
      <w:r w:rsidR="00E142B7" w:rsidRPr="00066C36">
        <w:t xml:space="preserve">between </w:t>
      </w:r>
      <w:r w:rsidR="002B06AB">
        <w:t xml:space="preserve">the </w:t>
      </w:r>
      <w:r w:rsidR="00E142B7" w:rsidRPr="00066C36">
        <w:t>0.37</w:t>
      </w:r>
      <w:r w:rsidRPr="00066C36">
        <w:t xml:space="preserve"> </w:t>
      </w:r>
      <w:r w:rsidR="00D0263D" w:rsidRPr="00066C36">
        <w:t xml:space="preserve">in </w:t>
      </w:r>
      <w:r w:rsidR="00FA65C1" w:rsidRPr="00F563B1">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{"citationID":"CKvIDzwH","properties":{"formattedCitation":"Argov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00FA65C1" w:rsidRPr="00F563B1">
        <w:rPr>
          <w:rFonts w:asciiTheme="majorHAnsi" w:hAnsiTheme="majorHAnsi" w:cs="David"/>
          <w:color w:val="0081AD"/>
          <w:lang w:bidi="he-IL"/>
        </w:rPr>
        <w:fldChar w:fldCharType="separate"/>
      </w:r>
      <w:r w:rsidR="00EC7FDA" w:rsidRPr="0038256C">
        <w:rPr>
          <w:rFonts w:asciiTheme="majorHAnsi" w:hAnsiTheme="majorHAnsi" w:cs="David"/>
          <w:color w:val="0081AD"/>
          <w:lang w:bidi="he-IL"/>
        </w:rPr>
        <w:t>Argov et al. (2012)</w:t>
      </w:r>
      <w:r w:rsidR="00FA65C1" w:rsidRPr="00F563B1">
        <w:rPr>
          <w:rFonts w:asciiTheme="majorHAnsi" w:hAnsiTheme="majorHAnsi" w:cs="David"/>
          <w:color w:val="0081AD"/>
          <w:lang w:bidi="he-IL"/>
        </w:rPr>
        <w:fldChar w:fldCharType="end"/>
      </w:r>
      <w:r w:rsidR="00FA65C1" w:rsidRPr="0038256C">
        <w:rPr>
          <w:rFonts w:asciiTheme="majorHAnsi" w:hAnsiTheme="majorHAnsi" w:cs="David"/>
          <w:color w:val="0081AD"/>
          <w:lang w:bidi="he-IL"/>
        </w:rPr>
        <w:t xml:space="preserve"> </w:t>
      </w:r>
      <w:r w:rsidR="00E142B7" w:rsidRPr="00066C36">
        <w:t xml:space="preserve">and </w:t>
      </w:r>
      <w:r w:rsidR="00D0263D" w:rsidRPr="00066C36">
        <w:t xml:space="preserve">the </w:t>
      </w:r>
      <w:r w:rsidR="00E142B7" w:rsidRPr="00066C36">
        <w:t xml:space="preserve">zero in </w:t>
      </w:r>
      <w:r w:rsidR="007656B7" w:rsidRPr="00F563B1">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{"citationID":"0c9kr90n","properties":{"formattedCitation":"Ilek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F563B1">
        <w:rPr>
          <w:rFonts w:asciiTheme="majorHAnsi" w:hAnsiTheme="majorHAnsi" w:cs="David"/>
          <w:color w:val="0081AD"/>
          <w:lang w:bidi="he-IL"/>
        </w:rPr>
        <w:fldChar w:fldCharType="separate"/>
      </w:r>
      <w:r w:rsidR="00EC7FDA" w:rsidRPr="009C6C05">
        <w:rPr>
          <w:rFonts w:asciiTheme="majorHAnsi" w:hAnsiTheme="majorHAnsi" w:cs="David"/>
          <w:color w:val="0081AD"/>
          <w:lang w:bidi="he-IL"/>
        </w:rPr>
        <w:t>Ilek and Rozenshtrom (2018)</w:t>
      </w:r>
      <w:r w:rsidR="007656B7" w:rsidRPr="00F563B1">
        <w:rPr>
          <w:rFonts w:asciiTheme="majorHAnsi" w:hAnsiTheme="majorHAnsi" w:cs="David"/>
          <w:color w:val="0081AD"/>
          <w:lang w:bidi="he-IL"/>
        </w:rPr>
        <w:fldChar w:fldCharType="end"/>
      </w:r>
      <w:r w:rsidR="00E142B7" w:rsidRPr="00066C36">
        <w:t xml:space="preserve">. </w:t>
      </w:r>
      <w:r w:rsidR="00B112A0" w:rsidRPr="00066C36">
        <w:t xml:space="preserve">We </w:t>
      </w:r>
      <w:r w:rsidR="00D0263D" w:rsidRPr="00066C36">
        <w:t xml:space="preserve">also apply the same </w:t>
      </w:r>
      <w:r w:rsidR="00B112A0" w:rsidRPr="00066C36">
        <w:t>indexation</w:t>
      </w:r>
      <w:r w:rsidR="00D0263D" w:rsidRPr="00066C36">
        <w:t xml:space="preserve"> degree to</w:t>
      </w:r>
      <w:r w:rsidR="00B112A0" w:rsidRPr="00066C36">
        <w:t xml:space="preserve"> nominal</w:t>
      </w:r>
      <w:r w:rsidR="00B112A0" w:rsidRPr="004C407A">
        <w:t xml:space="preserve"> rent </w:t>
      </w:r>
      <w:r w:rsidR="00D0263D" w:rsidRPr="004C407A">
        <w:t xml:space="preserve">prices, </w:t>
      </w:r>
      <m:oMath>
        <m:r>
          <w:rPr>
            <w:rFonts w:ascii="Cambria Math" w:hAnsi="Cambria Math"/>
          </w:rPr>
          <m:t>ϕ=0.3</m:t>
        </m:r>
      </m:oMath>
      <w:r w:rsidR="00D0263D" w:rsidRPr="004C407A">
        <w:t>.</w:t>
      </w:r>
      <w:r w:rsidR="0001077B">
        <w:t xml:space="preserve"> </w:t>
      </w:r>
      <w:r w:rsidRPr="00FE7741">
        <w:t>The price adjustment cost parameter for differentiated</w:t>
      </w:r>
      <w:r w:rsidR="0001077B">
        <w:t xml:space="preserve"> consumption</w:t>
      </w:r>
      <w:r w:rsidRPr="00FE7741">
        <w:t xml:space="preserve"> goods firms</w:t>
      </w:r>
      <w:r w:rsidR="0001077B">
        <w:t xml:space="preserve"> </w:t>
      </w:r>
      <m:oMath>
        <m:r>
          <w:rPr>
            <w:rFonts w:ascii="Cambria Math" w:hAnsi="Cambria Math"/>
          </w:rPr>
          <m:t>χ</m:t>
        </m:r>
      </m:oMath>
      <w:r w:rsidR="00F97661">
        <w:t>,</w:t>
      </w:r>
      <w:r w:rsidR="0001077B">
        <w:t xml:space="preserve"> </w:t>
      </w:r>
      <w:r w:rsidR="00F97661" w:rsidRPr="00FE7741">
        <w:t xml:space="preserve">which </w:t>
      </w:r>
      <w:r w:rsidR="00F97661">
        <w:t xml:space="preserve">affects the level </w:t>
      </w:r>
      <w:r w:rsidR="00F97661" w:rsidRPr="00FE7741">
        <w:t>of nominal rigidity in price setting</w:t>
      </w:r>
      <w:r w:rsidR="00F97661">
        <w:t>,</w:t>
      </w:r>
      <w:r w:rsidR="00F97661" w:rsidRPr="00FE7741">
        <w:t xml:space="preserve"> </w:t>
      </w:r>
      <w:r w:rsidR="00F97661">
        <w:t>is set at 95, matching</w:t>
      </w:r>
      <w:r w:rsidRPr="00FE7741">
        <w:t xml:space="preserve"> </w:t>
      </w:r>
      <w:r w:rsidR="00F97661">
        <w:t>the</w:t>
      </w:r>
      <w:r w:rsidRPr="00FE7741">
        <w:t xml:space="preserve"> value </w:t>
      </w:r>
      <w:r w:rsidR="00F97661">
        <w:t xml:space="preserve">obtained </w:t>
      </w:r>
      <w:r w:rsidRPr="00FE7741">
        <w:t>in</w:t>
      </w:r>
      <w:r w:rsidR="007656B7">
        <w:t xml:space="preserve"> </w:t>
      </w:r>
      <w:r w:rsidR="007656B7" w:rsidRPr="009827EC">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{"citationID":"3up6V81C","properties":{"formattedCitation":"Ilek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9827EC">
        <w:rPr>
          <w:rFonts w:asciiTheme="majorHAnsi" w:hAnsiTheme="majorHAnsi" w:cs="David"/>
          <w:color w:val="0081AD"/>
          <w:lang w:bidi="he-IL"/>
        </w:rPr>
        <w:fldChar w:fldCharType="separate"/>
      </w:r>
      <w:r w:rsidR="00EC7FDA" w:rsidRPr="001E6057">
        <w:rPr>
          <w:rFonts w:asciiTheme="majorHAnsi" w:hAnsiTheme="majorHAnsi" w:cs="David"/>
          <w:color w:val="0081AD"/>
          <w:lang w:bidi="he-IL"/>
        </w:rPr>
        <w:t>Ilek and Rozenshtrom (2018)</w:t>
      </w:r>
      <w:r w:rsidR="007656B7" w:rsidRPr="009827EC">
        <w:rPr>
          <w:rFonts w:asciiTheme="majorHAnsi" w:hAnsiTheme="majorHAnsi" w:cs="David"/>
          <w:color w:val="0081AD"/>
          <w:lang w:bidi="he-IL"/>
        </w:rPr>
        <w:fldChar w:fldCharType="end"/>
      </w:r>
      <w:r w:rsidRPr="009827EC">
        <w:rPr>
          <w:rFonts w:asciiTheme="majorHAnsi" w:hAnsiTheme="majorHAnsi" w:cs="David"/>
          <w:color w:val="0081AD"/>
          <w:lang w:bidi="he-IL"/>
        </w:rPr>
        <w:t>.</w:t>
      </w:r>
      <w:r w:rsidRPr="00FE7741">
        <w:t xml:space="preserve"> The price adjustment cost parameter for ren</w:t>
      </w:r>
      <w:r w:rsidR="0001077B">
        <w:t xml:space="preserve">tal services firms </w:t>
      </w:r>
      <m:oMath>
        <m:r>
          <w:rPr>
            <w:rFonts w:ascii="Cambria Math" w:hAnsi="Cambria Math"/>
            <w:sz w:val="20"/>
            <w:szCs w:val="20"/>
          </w:rPr>
          <m:t>Θ</m:t>
        </m:r>
      </m:oMath>
      <w:r w:rsidR="0001077B">
        <w:t xml:space="preserve"> is set at 311</w:t>
      </w:r>
      <w:r w:rsidR="00A2618D">
        <w:t>, based on stylized facts in Israeli rental market documented by</w:t>
      </w:r>
      <w:r w:rsidR="00697EAF">
        <w:t xml:space="preserve"> </w:t>
      </w:r>
      <w:r w:rsidR="00697EAF" w:rsidRPr="00763575">
        <w:rPr>
          <w:rFonts w:asciiTheme="majorHAnsi" w:hAnsiTheme="majorHAnsi" w:cs="David"/>
          <w:color w:val="0081AD"/>
          <w:lang w:bidi="he-IL"/>
        </w:rPr>
        <w:fldChar w:fldCharType="begin"/>
      </w:r>
      <w:r w:rsidR="00EC7FDA" w:rsidRPr="00763575">
        <w:rPr>
          <w:rFonts w:asciiTheme="majorHAnsi" w:hAnsiTheme="majorHAnsi" w:cs="David"/>
          <w:color w:val="0081AD"/>
          <w:lang w:bidi="he-IL"/>
        </w:rPr>
        <w:instrText xml:space="preserve"> ADDIN ZOTERO_ITEM CSL_CITATION {"citationID":"7kQ6ji9h","properties":{"formattedCitation":"Raz-Dror (2019)","plainCitation":"Raz-Dror (2019)","noteIndex":0},"citationItems":[{"id":1215,"uris":["http://zotero.org/users/6680486/items/CY4ZCYAA"],"itemData":{"id":1215,"type":"article-journal","citation-key":"raz-drorChangesRentIsrael2019","container-title":"Israel Economic Review","issue":"1","source":"Google Scholar","title":"The changes in rent in israel during the years of the housing crisis 2008–2015","URL":"https://papers.ssrn.com/sol3/papers.cfm?abstract_id=3481727","volume":"17","author":[{"family":"Raz-Dror","given":"Ofer"}],"accessed":{"date-parts":[["2024",2,22]]},"issued":{"date-parts":[["2019"]]}}}],"schema":"https://github.com/citation-style-language/schema/raw/master/csl-citation.json"} </w:instrText>
      </w:r>
      <w:r w:rsidR="00697EAF" w:rsidRPr="00763575">
        <w:rPr>
          <w:rFonts w:asciiTheme="majorHAnsi" w:hAnsiTheme="majorHAnsi" w:cs="David"/>
          <w:color w:val="0081AD"/>
          <w:lang w:bidi="he-IL"/>
        </w:rPr>
        <w:fldChar w:fldCharType="separate"/>
      </w:r>
      <w:r w:rsidR="00EC7FDA" w:rsidRPr="00763575">
        <w:rPr>
          <w:rFonts w:asciiTheme="majorHAnsi" w:hAnsiTheme="majorHAnsi" w:cs="David"/>
          <w:color w:val="0081AD"/>
          <w:lang w:bidi="he-IL"/>
        </w:rPr>
        <w:t>Raz-Dror (2019)</w:t>
      </w:r>
      <w:r w:rsidR="00697EAF" w:rsidRPr="00763575">
        <w:rPr>
          <w:rFonts w:asciiTheme="majorHAnsi" w:hAnsiTheme="majorHAnsi" w:cs="David"/>
          <w:color w:val="0081AD"/>
          <w:lang w:bidi="he-IL"/>
        </w:rPr>
        <w:fldChar w:fldCharType="end"/>
      </w:r>
      <w:r w:rsidRPr="003C31AE">
        <w:rPr>
          <w:rStyle w:val="FootnoteReference"/>
        </w:rPr>
        <w:footnoteReference w:id="10"/>
      </w:r>
      <w:r w:rsidRPr="00FE7741">
        <w:t xml:space="preserve">, </w:t>
      </w:r>
      <w:r w:rsidR="009B7FA0">
        <w:t xml:space="preserve">indicating greater </w:t>
      </w:r>
      <w:r w:rsidRPr="00FE7741">
        <w:t xml:space="preserve">nominal rigidity in </w:t>
      </w:r>
      <w:r w:rsidR="00F200A6">
        <w:t xml:space="preserve">rental goods </w:t>
      </w:r>
      <w:r w:rsidRPr="00FE7741">
        <w:t>price</w:t>
      </w:r>
      <w:r w:rsidR="00F200A6">
        <w:t>s</w:t>
      </w:r>
      <w:r w:rsidRPr="00FE7741">
        <w:t xml:space="preserve"> </w:t>
      </w:r>
      <w:r w:rsidR="009B7FA0">
        <w:t>relative</w:t>
      </w:r>
      <w:r w:rsidR="00F200A6">
        <w:t xml:space="preserve"> to consumption goods prices</w:t>
      </w:r>
      <w:r w:rsidRPr="00FE7741">
        <w:t xml:space="preserve">. </w:t>
      </w:r>
      <w:r w:rsidR="00D86D03">
        <w:t xml:space="preserve">This </w:t>
      </w:r>
      <w:r w:rsidR="009B7FA0">
        <w:t>is consistent with empirical evidence from</w:t>
      </w:r>
      <w:r w:rsidR="00697EAF">
        <w:t xml:space="preserve"> </w:t>
      </w:r>
      <w:r w:rsidR="00697EAF" w:rsidRPr="009324BE">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{"citationID":"hx9w3GoO","properties":{"formattedCitation":"Raz-Dror (2019)","plainCitation":"Raz-Dror (2019)","noteIndex":0},"citationItems":[{"id":1215,"uris":["http://zotero.org/users/6680486/items/CY4ZCYAA"],"itemData":{"id":1215,"type":"article-journal","citation-key":"raz-drorChangesRentIsrael2019","container-title":"Israel Economic Review","issue":"1","source":"Google Scholar","title":"The changes in rent in israel during the years of the housing crisis 2008–2015","URL":"https://papers.ssrn.com/sol3/papers.cfm?abstract_id=3481727","volume":"17","author":[{"family":"Raz-Dror","given":"Ofer"}],"accessed":{"date-parts":[["2024",2,22]]},"issued":{"date-parts":[["2019"]]}}}],"schema":"https://github.com/citation-style-language/schema/raw/master/csl-citation.json"} </w:instrText>
      </w:r>
      <w:r w:rsidR="00697EAF" w:rsidRPr="009324BE">
        <w:rPr>
          <w:rFonts w:asciiTheme="majorHAnsi" w:hAnsiTheme="majorHAnsi" w:cs="David"/>
          <w:color w:val="0081AD"/>
          <w:lang w:bidi="he-IL"/>
        </w:rPr>
        <w:fldChar w:fldCharType="separate"/>
      </w:r>
      <w:r w:rsidR="00EC7FDA" w:rsidRPr="00F573D0">
        <w:rPr>
          <w:rFonts w:asciiTheme="majorHAnsi" w:hAnsiTheme="majorHAnsi" w:cs="David"/>
          <w:color w:val="0081AD"/>
          <w:lang w:bidi="he-IL"/>
        </w:rPr>
        <w:t>Raz-Dror (2019)</w:t>
      </w:r>
      <w:r w:rsidR="00697EAF" w:rsidRPr="009324BE">
        <w:rPr>
          <w:rFonts w:asciiTheme="majorHAnsi" w:hAnsiTheme="majorHAnsi" w:cs="David"/>
          <w:color w:val="0081AD"/>
          <w:lang w:bidi="he-IL"/>
        </w:rPr>
        <w:fldChar w:fldCharType="end"/>
      </w:r>
      <w:r w:rsidR="001B2AA6" w:rsidRPr="009324BE">
        <w:rPr>
          <w:rFonts w:asciiTheme="majorHAnsi" w:hAnsiTheme="majorHAnsi" w:cs="David"/>
          <w:color w:val="0081AD"/>
          <w:lang w:bidi="he-IL"/>
        </w:rPr>
        <w:t xml:space="preserve"> </w:t>
      </w:r>
      <w:r w:rsidR="001B2AA6" w:rsidRPr="001B2AA6">
        <w:t>and</w:t>
      </w:r>
      <w:r w:rsidR="000D7A36">
        <w:t xml:space="preserve"> </w:t>
      </w:r>
      <w:r w:rsidR="000D7A36" w:rsidRPr="009324BE">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{"citationID":"yRsoNf5g","properties":{"formattedCitation":"Ribon and Sayag (2013)","plainCitation":"Ribon and Sayag (2013)","noteIndex":0},"citationItems":[{"id":1667,"uris":["http://zotero.org/users/6680486/items/PC8VQGMI"],"itemData":{"id":1667,"type":"article","abstract":"The paper studies pricing behavior in Israel, using a very large dataset containing more than 3 million observations drawn from the Israel Central Bureau of Statistics (CBS) database, covering all CPI components except housing and fruit and vegetables. The mean duration between price changes is about 6 to 9 months, depending on the method of computation. We find considerable heterogeneity in the frequency of price changes within and between sectors. We also find that the inflation environment, outlet characteristics and seasonality affect pricing behavior. Changes in VAT have some impact on duration but generally only affect the size of price changes of the most flexible prices.\nAccording to our analysis, the size of the average price change is 3.5%. Price reductions constitute about a third of price changes, and their average size, about 10%, is similar to that of price increases","citation-key":"ribonPriceSettingBehavior2013a","collection-number":"2013.07","collection-title":"Discussion Paper Series","publisher-place":"Research Department Bank of Israel","source":"Google Scholar","title":"Price Setting Behavior in Israel An Empirical Analysis Using Microdata","URL":"https://boi.org.il/media/m41lhbv0/dp1307e.pdf","author":[{"family":"Ribon","given":"Sigal"},{"family":"Sayag","given":"Doron"}],"accessed":{"date-parts":[["2024",5,19]]},"issued":{"date-parts":[["2013",6]]}}}],"schema":"https://github.com/citation-style-language/schema/raw/master/csl-citation.json"} </w:instrText>
      </w:r>
      <w:r w:rsidR="000D7A36" w:rsidRPr="009324BE">
        <w:rPr>
          <w:rFonts w:asciiTheme="majorHAnsi" w:hAnsiTheme="majorHAnsi" w:cs="David"/>
          <w:color w:val="0081AD"/>
          <w:lang w:bidi="he-IL"/>
        </w:rPr>
        <w:fldChar w:fldCharType="separate"/>
      </w:r>
      <w:r w:rsidR="00EC7FDA" w:rsidRPr="00F573D0">
        <w:rPr>
          <w:rFonts w:asciiTheme="majorHAnsi" w:hAnsiTheme="majorHAnsi" w:cs="David"/>
          <w:color w:val="0081AD"/>
          <w:lang w:bidi="he-IL"/>
        </w:rPr>
        <w:t>Ribon and Sayag (2013)</w:t>
      </w:r>
      <w:r w:rsidR="000D7A36" w:rsidRPr="009324BE">
        <w:rPr>
          <w:rFonts w:asciiTheme="majorHAnsi" w:hAnsiTheme="majorHAnsi" w:cs="David"/>
          <w:color w:val="0081AD"/>
          <w:lang w:bidi="he-IL"/>
        </w:rPr>
        <w:fldChar w:fldCharType="end"/>
      </w:r>
      <w:r w:rsidR="001D4827">
        <w:t>.</w:t>
      </w:r>
    </w:p>
    <w:p w14:paraId="6FD29169" w14:textId="06ADAD7A" w:rsidR="00223257" w:rsidRDefault="001A66DC" w:rsidP="00EC7FDA">
      <w:pPr>
        <w:pStyle w:val="BodyText"/>
      </w:pPr>
      <w:r>
        <w:t xml:space="preserve">The inflation gap parameter </w:t>
      </w:r>
      <m:oMath>
        <m:sSub>
          <m:sSubPr>
            <m:ctrlPr>
              <w:rPr>
                <w:rFonts w:ascii="Cambria Math" w:hAnsi="Cambria Math"/>
                <w:i/>
              </w:rPr>
            </m:ctrlPr>
          </m:sSubPr>
          <m:e>
            <m:r>
              <w:rPr>
                <w:rFonts w:ascii="Cambria Math" w:hAnsi="Cambria Math"/>
              </w:rPr>
              <m:t>θ</m:t>
            </m:r>
          </m:e>
          <m:sub>
            <m:r>
              <w:rPr>
                <w:rFonts w:ascii="Cambria Math" w:hAnsi="Cambria Math"/>
              </w:rPr>
              <m:t>1</m:t>
            </m:r>
          </m:sub>
        </m:sSub>
      </m:oMath>
      <w:r>
        <w:t xml:space="preserve"> in the </w:t>
      </w:r>
      <w:r w:rsidR="00A3286C" w:rsidRPr="00FE7741">
        <w:t xml:space="preserve">monetary policy rule is set at 2, </w:t>
      </w:r>
      <w:r>
        <w:t xml:space="preserve">implying </w:t>
      </w:r>
      <w:r w:rsidR="00A27D51">
        <w:t>a</w:t>
      </w:r>
      <w:r>
        <w:t xml:space="preserve"> central bank's </w:t>
      </w:r>
      <w:r w:rsidR="00A3286C" w:rsidRPr="00FE7741">
        <w:t xml:space="preserve">strong response </w:t>
      </w:r>
      <w:r>
        <w:t>t</w:t>
      </w:r>
      <w:r w:rsidR="00A3286C" w:rsidRPr="00FE7741">
        <w:t xml:space="preserve">o </w:t>
      </w:r>
      <w:r>
        <w:t xml:space="preserve">inflation </w:t>
      </w:r>
      <w:r w:rsidR="00A3286C" w:rsidRPr="00FE7741">
        <w:t xml:space="preserve">deviations from its target, </w:t>
      </w:r>
      <w:r>
        <w:t xml:space="preserve">in line with </w:t>
      </w:r>
      <w:r w:rsidR="00A3286C" w:rsidRPr="00FE7741">
        <w:t>th</w:t>
      </w:r>
      <w:r w:rsidR="003C1751">
        <w:t xml:space="preserve">e Taylor principle. This parameter </w:t>
      </w:r>
      <w:r w:rsidR="005B061A">
        <w:t>is chosen to be between</w:t>
      </w:r>
      <w:r w:rsidR="002B06AB">
        <w:t xml:space="preserve"> the</w:t>
      </w:r>
      <w:r w:rsidR="003C1751">
        <w:t xml:space="preserve"> 2.5 </w:t>
      </w:r>
      <w:r w:rsidR="005B061A">
        <w:t xml:space="preserve">obtained </w:t>
      </w:r>
      <w:r w:rsidR="003C1751">
        <w:t xml:space="preserve">in </w:t>
      </w:r>
      <w:r w:rsidR="007656B7" w:rsidRPr="005920CE">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{"citationID":"aFXZTdCR","properties":{"formattedCitation":"Argov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007656B7" w:rsidRPr="005920CE">
        <w:rPr>
          <w:rFonts w:asciiTheme="majorHAnsi" w:hAnsiTheme="majorHAnsi" w:cs="David"/>
          <w:color w:val="0081AD"/>
          <w:lang w:bidi="he-IL"/>
        </w:rPr>
        <w:fldChar w:fldCharType="separate"/>
      </w:r>
      <w:r w:rsidR="00EC7FDA" w:rsidRPr="009630CD">
        <w:rPr>
          <w:rFonts w:asciiTheme="majorHAnsi" w:hAnsiTheme="majorHAnsi" w:cs="David"/>
          <w:color w:val="0081AD"/>
          <w:lang w:bidi="he-IL"/>
        </w:rPr>
        <w:t>Argov et al. (2012)</w:t>
      </w:r>
      <w:r w:rsidR="007656B7" w:rsidRPr="005920CE">
        <w:rPr>
          <w:rFonts w:asciiTheme="majorHAnsi" w:hAnsiTheme="majorHAnsi" w:cs="David"/>
          <w:color w:val="0081AD"/>
          <w:lang w:bidi="he-IL"/>
        </w:rPr>
        <w:fldChar w:fldCharType="end"/>
      </w:r>
      <w:r w:rsidR="003C1751" w:rsidRPr="005920CE">
        <w:rPr>
          <w:rFonts w:asciiTheme="majorHAnsi" w:hAnsiTheme="majorHAnsi" w:cs="David"/>
          <w:color w:val="0081AD"/>
          <w:lang w:bidi="he-IL"/>
        </w:rPr>
        <w:t xml:space="preserve"> </w:t>
      </w:r>
      <w:r w:rsidR="003C1751">
        <w:t>and</w:t>
      </w:r>
      <w:r w:rsidR="00096C3E">
        <w:t xml:space="preserve"> </w:t>
      </w:r>
      <w:r w:rsidR="005B061A">
        <w:t xml:space="preserve">the </w:t>
      </w:r>
      <w:r w:rsidR="00096C3E">
        <w:t xml:space="preserve">1.5 </w:t>
      </w:r>
      <w:r w:rsidR="005B061A">
        <w:t>from</w:t>
      </w:r>
      <w:r w:rsidR="00096C3E">
        <w:t xml:space="preserve"> </w:t>
      </w:r>
      <w:r w:rsidR="007656B7" w:rsidRPr="005920CE">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{"citationID":"WCAjD0lt","properties":{"formattedCitation":"Ilek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5920CE">
        <w:rPr>
          <w:rFonts w:asciiTheme="majorHAnsi" w:hAnsiTheme="majorHAnsi" w:cs="David"/>
          <w:color w:val="0081AD"/>
          <w:lang w:bidi="he-IL"/>
        </w:rPr>
        <w:fldChar w:fldCharType="separate"/>
      </w:r>
      <w:r w:rsidR="00EC7FDA" w:rsidRPr="009630CD">
        <w:rPr>
          <w:rFonts w:asciiTheme="majorHAnsi" w:hAnsiTheme="majorHAnsi" w:cs="David"/>
          <w:color w:val="0081AD"/>
          <w:lang w:bidi="he-IL"/>
        </w:rPr>
        <w:t>Ilek and Rozenshtrom (2018)</w:t>
      </w:r>
      <w:r w:rsidR="007656B7" w:rsidRPr="005920CE">
        <w:rPr>
          <w:rFonts w:asciiTheme="majorHAnsi" w:hAnsiTheme="majorHAnsi" w:cs="David"/>
          <w:color w:val="0081AD"/>
          <w:lang w:bidi="he-IL"/>
        </w:rPr>
        <w:fldChar w:fldCharType="end"/>
      </w:r>
      <w:r w:rsidR="00096C3E" w:rsidRPr="009630CD">
        <w:rPr>
          <w:rFonts w:asciiTheme="majorHAnsi" w:hAnsiTheme="majorHAnsi" w:cs="David"/>
          <w:color w:val="0081AD"/>
          <w:lang w:bidi="he-IL"/>
        </w:rPr>
        <w:t>.</w:t>
      </w:r>
      <w:r w:rsidR="00096C3E" w:rsidRPr="004C407A">
        <w:t xml:space="preserve"> </w:t>
      </w:r>
      <w:r w:rsidR="00096C3E">
        <w:t>T</w:t>
      </w:r>
      <w:r w:rsidR="00A3286C" w:rsidRPr="00FE7741">
        <w:t xml:space="preserve">he </w:t>
      </w:r>
      <w:r w:rsidR="008021F7">
        <w:t xml:space="preserve">central bank's response </w:t>
      </w:r>
      <w:r w:rsidR="00A3286C" w:rsidRPr="00FE7741">
        <w:t>to output growth</w:t>
      </w:r>
      <w:r w:rsidR="00590886">
        <w:t xml:space="preserve"> </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rsidR="0093517E">
        <w:t xml:space="preserve"> is set at 0.</w:t>
      </w:r>
      <w:r w:rsidR="00AE6A6F">
        <w:t>0</w:t>
      </w:r>
      <w:r w:rsidR="00A3286C" w:rsidRPr="00FE7741">
        <w:t xml:space="preserve">2, </w:t>
      </w:r>
      <w:r w:rsidR="008021F7">
        <w:t>suggesting</w:t>
      </w:r>
      <w:r w:rsidR="00A3286C" w:rsidRPr="00FE7741">
        <w:t xml:space="preserve"> </w:t>
      </w:r>
      <w:r w:rsidR="008021F7">
        <w:t>a more moderate r</w:t>
      </w:r>
      <w:r w:rsidR="00A3286C" w:rsidRPr="00FE7741">
        <w:t xml:space="preserve">esponse </w:t>
      </w:r>
      <w:r w:rsidR="002B06AB">
        <w:t xml:space="preserve">to </w:t>
      </w:r>
      <w:r w:rsidR="008021F7">
        <w:t>o</w:t>
      </w:r>
      <w:r w:rsidR="00A3286C" w:rsidRPr="00FE7741">
        <w:t xml:space="preserve">utput </w:t>
      </w:r>
      <w:r w:rsidR="008021F7">
        <w:t>changes.</w:t>
      </w:r>
      <w:r w:rsidR="00A3286C" w:rsidRPr="00FE7741">
        <w:t xml:space="preserve"> </w:t>
      </w:r>
      <w:r w:rsidR="008021F7">
        <w:t>Th</w:t>
      </w:r>
      <w:r w:rsidR="00A3286C" w:rsidRPr="00FE7741">
        <w:t>e interest rate inertia parameter</w:t>
      </w:r>
      <w:r w:rsidR="00590886">
        <w:t xml:space="preserve"> </w:t>
      </w:r>
      <m:oMath>
        <m:r>
          <w:rPr>
            <w:rFonts w:ascii="Cambria Math" w:hAnsi="Cambria Math"/>
          </w:rPr>
          <m:t>ρ</m:t>
        </m:r>
      </m:oMath>
      <w:r w:rsidR="00A3286C" w:rsidRPr="00FE7741">
        <w:t xml:space="preserve"> is set at 0.75, </w:t>
      </w:r>
      <w:r w:rsidR="008021F7">
        <w:t>reflecting significant</w:t>
      </w:r>
      <w:r w:rsidR="00A3286C" w:rsidRPr="00FE7741">
        <w:t xml:space="preserve"> smoothing in</w:t>
      </w:r>
      <w:r w:rsidR="002B06AB">
        <w:t xml:space="preserve"> the</w:t>
      </w:r>
      <w:r w:rsidR="00A3286C" w:rsidRPr="00FE7741">
        <w:t xml:space="preserve"> interest rate</w:t>
      </w:r>
      <w:r w:rsidR="00A3286C" w:rsidRPr="00FE7741">
        <w:rPr>
          <w:rtl/>
        </w:rPr>
        <w:t>.</w:t>
      </w:r>
      <w:r w:rsidR="00A9538B" w:rsidRPr="00A9538B">
        <w:t xml:space="preserve"> This </w:t>
      </w:r>
      <w:r w:rsidR="008C76EA">
        <w:t>inertia</w:t>
      </w:r>
      <w:r w:rsidR="008F1210" w:rsidRPr="00FE7741">
        <w:t xml:space="preserve"> </w:t>
      </w:r>
      <w:r w:rsidR="00A9538B" w:rsidRPr="00A9538B">
        <w:t xml:space="preserve">parameter aligns with </w:t>
      </w:r>
      <w:r w:rsidR="007656B7" w:rsidRPr="00220F38">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{"citationID":"eJNLtW7t","properties":{"formattedCitation":"Ilek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7656B7" w:rsidRPr="00220F38">
        <w:rPr>
          <w:rFonts w:asciiTheme="majorHAnsi" w:hAnsiTheme="majorHAnsi" w:cs="David"/>
          <w:color w:val="0081AD"/>
          <w:lang w:bidi="he-IL"/>
        </w:rPr>
        <w:fldChar w:fldCharType="separate"/>
      </w:r>
      <w:r w:rsidR="00EC7FDA" w:rsidRPr="00174995">
        <w:rPr>
          <w:rFonts w:asciiTheme="majorHAnsi" w:hAnsiTheme="majorHAnsi" w:cs="David"/>
          <w:color w:val="0081AD"/>
          <w:lang w:bidi="he-IL"/>
        </w:rPr>
        <w:t>Ilek and Rozenshtrom (2018)</w:t>
      </w:r>
      <w:r w:rsidR="007656B7" w:rsidRPr="00220F38">
        <w:rPr>
          <w:rFonts w:asciiTheme="majorHAnsi" w:hAnsiTheme="majorHAnsi" w:cs="David"/>
          <w:color w:val="0081AD"/>
          <w:lang w:bidi="he-IL"/>
        </w:rPr>
        <w:fldChar w:fldCharType="end"/>
      </w:r>
      <w:r w:rsidR="00A9538B" w:rsidRPr="00220F38">
        <w:rPr>
          <w:rFonts w:asciiTheme="majorHAnsi" w:hAnsiTheme="majorHAnsi" w:cs="David"/>
          <w:color w:val="0081AD"/>
          <w:lang w:bidi="he-IL"/>
        </w:rPr>
        <w:t xml:space="preserve"> </w:t>
      </w:r>
      <w:r w:rsidR="00A9538B" w:rsidRPr="00A9538B">
        <w:t xml:space="preserve">and is similar to </w:t>
      </w:r>
      <w:r w:rsidR="007656B7" w:rsidRPr="00220F38">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{"citationID":"OnKQzvIJ","properties":{"formattedCitation":"Argov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007656B7" w:rsidRPr="00220F38">
        <w:rPr>
          <w:rFonts w:asciiTheme="majorHAnsi" w:hAnsiTheme="majorHAnsi" w:cs="David"/>
          <w:color w:val="0081AD"/>
          <w:lang w:bidi="he-IL"/>
        </w:rPr>
        <w:fldChar w:fldCharType="separate"/>
      </w:r>
      <w:r w:rsidR="00EC7FDA" w:rsidRPr="00174995">
        <w:rPr>
          <w:rFonts w:asciiTheme="majorHAnsi" w:hAnsiTheme="majorHAnsi" w:cs="David"/>
          <w:color w:val="0081AD"/>
          <w:lang w:bidi="he-IL"/>
        </w:rPr>
        <w:t>Argov et al. (2012)</w:t>
      </w:r>
      <w:r w:rsidR="007656B7" w:rsidRPr="00220F38">
        <w:rPr>
          <w:rFonts w:asciiTheme="majorHAnsi" w:hAnsiTheme="majorHAnsi" w:cs="David"/>
          <w:color w:val="0081AD"/>
          <w:lang w:bidi="he-IL"/>
        </w:rPr>
        <w:fldChar w:fldCharType="end"/>
      </w:r>
      <w:r w:rsidR="00A9538B" w:rsidRPr="00A9538B">
        <w:t>.</w:t>
      </w:r>
      <w:r w:rsidR="0093517E">
        <w:t xml:space="preserve"> </w:t>
      </w:r>
    </w:p>
    <w:p w14:paraId="7C2168AB" w14:textId="77777777" w:rsidR="00814B95" w:rsidRPr="00AE64AE" w:rsidRDefault="001A66DC" w:rsidP="00AE64AE">
      <w:pPr>
        <w:pStyle w:val="Caption"/>
        <w:rPr>
          <w:szCs w:val="24"/>
        </w:rPr>
      </w:pPr>
      <w:r w:rsidRPr="00AE64AE">
        <w:rPr>
          <w:color w:val="3333B3"/>
          <w:szCs w:val="24"/>
        </w:rPr>
        <w:t xml:space="preserve">Table 1: </w:t>
      </w:r>
      <w:r w:rsidR="00FF645A" w:rsidRPr="00AE64AE">
        <w:rPr>
          <w:szCs w:val="24"/>
        </w:rPr>
        <w:t>Calibration</w:t>
      </w:r>
      <w:r w:rsidR="007577A6" w:rsidRPr="00AE64AE">
        <w:rPr>
          <w:szCs w:val="24"/>
        </w:rPr>
        <w:t xml:space="preserve"> summary</w:t>
      </w:r>
    </w:p>
    <w:tbl>
      <w:tblPr>
        <w:tblStyle w:val="TableGrid"/>
        <w:tblW w:w="8359" w:type="dxa"/>
        <w:tblLook w:val="04A0" w:firstRow="1" w:lastRow="0" w:firstColumn="1" w:lastColumn="0" w:noHBand="0" w:noVBand="1"/>
      </w:tblPr>
      <w:tblGrid>
        <w:gridCol w:w="1311"/>
        <w:gridCol w:w="3230"/>
        <w:gridCol w:w="983"/>
        <w:gridCol w:w="2835"/>
      </w:tblGrid>
      <w:tr w:rsidR="00285375" w14:paraId="0A213CED" w14:textId="77777777" w:rsidTr="0074762E">
        <w:tc>
          <w:tcPr>
            <w:tcW w:w="1311" w:type="dxa"/>
          </w:tcPr>
          <w:p w14:paraId="28B96E52" w14:textId="77777777" w:rsidR="00CE6E5C" w:rsidRPr="007E17BB" w:rsidRDefault="001A66DC" w:rsidP="005349D7">
            <w:pPr>
              <w:pStyle w:val="BodyText"/>
              <w:rPr>
                <w:b/>
                <w:bCs/>
                <w:sz w:val="22"/>
                <w:szCs w:val="22"/>
              </w:rPr>
            </w:pPr>
            <w:r w:rsidRPr="007E17BB">
              <w:rPr>
                <w:b/>
                <w:bCs/>
                <w:sz w:val="22"/>
                <w:szCs w:val="22"/>
              </w:rPr>
              <w:t>Parameter</w:t>
            </w:r>
          </w:p>
        </w:tc>
        <w:tc>
          <w:tcPr>
            <w:tcW w:w="3230" w:type="dxa"/>
          </w:tcPr>
          <w:p w14:paraId="6CC9FF8D" w14:textId="77777777" w:rsidR="00CE6E5C" w:rsidRPr="007E17BB" w:rsidRDefault="001A66DC" w:rsidP="005349D7">
            <w:pPr>
              <w:pStyle w:val="BodyText"/>
              <w:rPr>
                <w:b/>
                <w:bCs/>
                <w:sz w:val="22"/>
                <w:szCs w:val="22"/>
              </w:rPr>
            </w:pPr>
            <w:r w:rsidRPr="007E17BB">
              <w:rPr>
                <w:b/>
                <w:bCs/>
                <w:sz w:val="22"/>
                <w:szCs w:val="22"/>
              </w:rPr>
              <w:t>Description</w:t>
            </w:r>
          </w:p>
        </w:tc>
        <w:tc>
          <w:tcPr>
            <w:tcW w:w="983" w:type="dxa"/>
          </w:tcPr>
          <w:p w14:paraId="1C5DB42B" w14:textId="77777777" w:rsidR="00CE6E5C" w:rsidRPr="007E17BB" w:rsidRDefault="001A66DC" w:rsidP="007E17BB">
            <w:pPr>
              <w:pStyle w:val="BodyText"/>
              <w:jc w:val="center"/>
              <w:rPr>
                <w:b/>
                <w:bCs/>
                <w:sz w:val="22"/>
                <w:szCs w:val="22"/>
              </w:rPr>
            </w:pPr>
            <w:r w:rsidRPr="007E17BB">
              <w:rPr>
                <w:b/>
                <w:bCs/>
                <w:sz w:val="22"/>
                <w:szCs w:val="22"/>
              </w:rPr>
              <w:t>Value</w:t>
            </w:r>
          </w:p>
        </w:tc>
        <w:tc>
          <w:tcPr>
            <w:tcW w:w="2835" w:type="dxa"/>
          </w:tcPr>
          <w:p w14:paraId="51D5977B" w14:textId="77777777" w:rsidR="00CE6E5C" w:rsidRPr="007E17BB" w:rsidRDefault="001A66DC" w:rsidP="005349D7">
            <w:pPr>
              <w:pStyle w:val="BodyText"/>
              <w:rPr>
                <w:b/>
                <w:bCs/>
                <w:sz w:val="22"/>
                <w:szCs w:val="22"/>
              </w:rPr>
            </w:pPr>
            <w:r w:rsidRPr="007E17BB">
              <w:rPr>
                <w:b/>
                <w:bCs/>
                <w:sz w:val="22"/>
                <w:szCs w:val="22"/>
              </w:rPr>
              <w:t>Reference</w:t>
            </w:r>
          </w:p>
        </w:tc>
      </w:tr>
      <w:tr w:rsidR="00285375" w14:paraId="1E9ED958" w14:textId="77777777" w:rsidTr="0074762E">
        <w:tc>
          <w:tcPr>
            <w:tcW w:w="1311" w:type="dxa"/>
          </w:tcPr>
          <w:p w14:paraId="382B1183" w14:textId="77777777" w:rsidR="00CE6E5C" w:rsidRPr="007E17BB" w:rsidRDefault="00000000" w:rsidP="007A1700">
            <w:pPr>
              <w:pStyle w:val="BodyText"/>
              <w:jc w:val="center"/>
              <w:rPr>
                <w:rFonts w:asciiTheme="majorHAnsi" w:hAnsiTheme="majorHAnsi"/>
                <w:i/>
                <w:sz w:val="22"/>
                <w:szCs w:val="22"/>
              </w:rPr>
            </w:pPr>
            <m:oMathPara>
              <m:oMath>
                <m:sSup>
                  <m:sSupPr>
                    <m:ctrlPr>
                      <w:rPr>
                        <w:rFonts w:ascii="Cambria Math" w:hAnsi="Cambria Math"/>
                        <w:i/>
                        <w:sz w:val="22"/>
                        <w:szCs w:val="22"/>
                      </w:rPr>
                    </m:ctrlPr>
                  </m:sSupPr>
                  <m:e>
                    <m:r>
                      <w:rPr>
                        <w:rFonts w:ascii="Cambria Math" w:hAnsi="Cambria Math"/>
                        <w:sz w:val="22"/>
                        <w:szCs w:val="22"/>
                      </w:rPr>
                      <m:t>ζ</m:t>
                    </m:r>
                  </m:e>
                  <m:sup>
                    <m:r>
                      <w:rPr>
                        <w:rFonts w:ascii="Cambria Math" w:hAnsi="Cambria Math"/>
                        <w:sz w:val="22"/>
                        <w:szCs w:val="22"/>
                      </w:rPr>
                      <m:t>c</m:t>
                    </m:r>
                  </m:sup>
                </m:sSup>
              </m:oMath>
            </m:oMathPara>
          </w:p>
        </w:tc>
        <w:tc>
          <w:tcPr>
            <w:tcW w:w="3230" w:type="dxa"/>
          </w:tcPr>
          <w:p w14:paraId="674B9804" w14:textId="77777777" w:rsidR="00CE6E5C" w:rsidRPr="007E17BB" w:rsidRDefault="001A66DC" w:rsidP="005349D7">
            <w:pPr>
              <w:pStyle w:val="BodyText"/>
              <w:rPr>
                <w:sz w:val="22"/>
                <w:szCs w:val="22"/>
              </w:rPr>
            </w:pPr>
            <w:r w:rsidRPr="007E17BB">
              <w:rPr>
                <w:sz w:val="22"/>
                <w:szCs w:val="22"/>
              </w:rPr>
              <w:t>Habit in consumption</w:t>
            </w:r>
            <w:r w:rsidR="00DE1D92" w:rsidRPr="007E17BB">
              <w:rPr>
                <w:sz w:val="22"/>
                <w:szCs w:val="22"/>
              </w:rPr>
              <w:t xml:space="preserve"> for both HH</w:t>
            </w:r>
          </w:p>
        </w:tc>
        <w:tc>
          <w:tcPr>
            <w:tcW w:w="983" w:type="dxa"/>
          </w:tcPr>
          <w:p w14:paraId="5A13D1F4" w14:textId="77777777" w:rsidR="00CE6E5C" w:rsidRPr="007E17BB" w:rsidRDefault="001A66DC" w:rsidP="007E17BB">
            <w:pPr>
              <w:pStyle w:val="BodyText"/>
              <w:jc w:val="center"/>
              <w:rPr>
                <w:sz w:val="22"/>
                <w:szCs w:val="22"/>
              </w:rPr>
            </w:pPr>
            <w:r w:rsidRPr="007E17BB">
              <w:rPr>
                <w:sz w:val="22"/>
                <w:szCs w:val="22"/>
              </w:rPr>
              <w:t>0.5</w:t>
            </w:r>
          </w:p>
        </w:tc>
        <w:tc>
          <w:tcPr>
            <w:tcW w:w="2835" w:type="dxa"/>
          </w:tcPr>
          <w:p w14:paraId="456A6B30" w14:textId="0095AF64" w:rsidR="00CE6E5C" w:rsidRPr="0074762E" w:rsidRDefault="00BA4FE9" w:rsidP="00EC7FDA">
            <w:pPr>
              <w:pStyle w:val="BodyText"/>
              <w:rPr>
                <w:sz w:val="22"/>
                <w:szCs w:val="22"/>
              </w:rPr>
            </w:pPr>
            <w:r w:rsidRPr="0074762E">
              <w:rPr>
                <w:rFonts w:asciiTheme="majorHAnsi" w:hAnsiTheme="majorHAnsi" w:cs="David"/>
                <w:sz w:val="22"/>
                <w:szCs w:val="22"/>
                <w:lang w:bidi="he-IL"/>
              </w:rPr>
              <w:fldChar w:fldCharType="begin"/>
            </w:r>
            <w:r w:rsidR="003F189B">
              <w:rPr>
                <w:rFonts w:asciiTheme="majorHAnsi" w:hAnsiTheme="majorHAnsi" w:cs="David"/>
                <w:sz w:val="22"/>
                <w:szCs w:val="22"/>
                <w:lang w:bidi="he-IL"/>
              </w:rPr>
              <w:instrText xml:space="preserve"> ADDIN ZOTERO_ITEM CSL_CITATION {"citationID":"TMFaelDl","properties":{"formattedCitation":"Ilek and Rozenshtrom (2018)","plainCitation":"Ilek and Rozenshtrom (2018)","noteIndex":0},"citationItems":[{"id":1619,"uris":["http://zotero.org/users/6680486/items/E62AYHQQ"],"itemData":{"id":1619,"type":"article-journal","abstract":"We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Pr="0074762E">
              <w:rPr>
                <w:rFonts w:asciiTheme="majorHAnsi" w:hAnsiTheme="majorHAnsi" w:cs="David"/>
                <w:sz w:val="22"/>
                <w:szCs w:val="22"/>
                <w:lang w:bidi="he-IL"/>
              </w:rPr>
              <w:fldChar w:fldCharType="separate"/>
            </w:r>
            <w:r w:rsidRPr="0074762E">
              <w:rPr>
                <w:rFonts w:asciiTheme="majorHAnsi" w:hAnsiTheme="majorHAnsi" w:cs="David"/>
                <w:sz w:val="22"/>
                <w:szCs w:val="22"/>
                <w:lang w:bidi="he-IL"/>
              </w:rPr>
              <w:t>Ilek and Rozenshtrom (2018)</w:t>
            </w:r>
            <w:r w:rsidRPr="0074762E">
              <w:rPr>
                <w:rFonts w:asciiTheme="majorHAnsi" w:hAnsiTheme="majorHAnsi" w:cs="David"/>
                <w:sz w:val="22"/>
                <w:szCs w:val="22"/>
                <w:lang w:bidi="he-IL"/>
              </w:rPr>
              <w:fldChar w:fldCharType="end"/>
            </w:r>
            <w:r w:rsidRPr="0074762E">
              <w:rPr>
                <w:sz w:val="22"/>
                <w:szCs w:val="22"/>
              </w:rPr>
              <w:t>,</w:t>
            </w:r>
            <w:r w:rsidR="00C85840" w:rsidRPr="0074762E">
              <w:rPr>
                <w:sz w:val="22"/>
                <w:szCs w:val="22"/>
              </w:rPr>
              <w:t xml:space="preserve"> </w:t>
            </w:r>
            <w:r w:rsidR="006E2ADF" w:rsidRPr="0074762E">
              <w:rPr>
                <w:sz w:val="22"/>
                <w:szCs w:val="22"/>
                <w:rtl/>
              </w:rPr>
              <w:fldChar w:fldCharType="begin"/>
            </w:r>
            <w:r w:rsidR="00EC7FDA" w:rsidRPr="0074762E">
              <w:rPr>
                <w:sz w:val="22"/>
                <w:szCs w:val="22"/>
              </w:rPr>
              <w:instrText xml:space="preserve"> ADDIN ZOTERO_ITEM CSL_CITATION {"citationID":"QFvTpTVM","properties":{"formattedCitation":"Argov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006E2ADF" w:rsidRPr="0074762E">
              <w:rPr>
                <w:sz w:val="22"/>
                <w:szCs w:val="22"/>
                <w:rtl/>
              </w:rPr>
              <w:fldChar w:fldCharType="separate"/>
            </w:r>
            <w:r w:rsidR="00EC7FDA" w:rsidRPr="0074762E">
              <w:rPr>
                <w:rFonts w:ascii="Utopia" w:hAnsi="Utopia"/>
                <w:sz w:val="22"/>
                <w:szCs w:val="22"/>
              </w:rPr>
              <w:t>Argov et al. (2012)</w:t>
            </w:r>
            <w:r w:rsidR="006E2ADF" w:rsidRPr="0074762E">
              <w:rPr>
                <w:sz w:val="22"/>
                <w:szCs w:val="22"/>
                <w:rtl/>
              </w:rPr>
              <w:fldChar w:fldCharType="end"/>
            </w:r>
          </w:p>
        </w:tc>
      </w:tr>
      <w:tr w:rsidR="00285375" w14:paraId="4381EBE1" w14:textId="77777777" w:rsidTr="0074762E">
        <w:tc>
          <w:tcPr>
            <w:tcW w:w="1311" w:type="dxa"/>
          </w:tcPr>
          <w:p w14:paraId="4F04D4B1" w14:textId="77777777" w:rsidR="00CE6E5C" w:rsidRPr="007E17BB" w:rsidRDefault="001A66DC" w:rsidP="007A1700">
            <w:pPr>
              <w:pStyle w:val="BodyText"/>
              <w:jc w:val="center"/>
              <w:rPr>
                <w:rFonts w:asciiTheme="majorHAnsi" w:hAnsiTheme="majorHAnsi"/>
                <w:i/>
                <w:sz w:val="22"/>
                <w:szCs w:val="22"/>
              </w:rPr>
            </w:pPr>
            <w:r w:rsidRPr="007E17BB">
              <w:rPr>
                <w:rFonts w:ascii="Cambria" w:hAnsi="Cambria"/>
                <w:i/>
                <w:sz w:val="22"/>
                <w:szCs w:val="22"/>
              </w:rPr>
              <w:t>β</w:t>
            </w:r>
          </w:p>
        </w:tc>
        <w:tc>
          <w:tcPr>
            <w:tcW w:w="3230" w:type="dxa"/>
          </w:tcPr>
          <w:p w14:paraId="07606E55" w14:textId="77777777" w:rsidR="00CE6E5C" w:rsidRPr="007E17BB" w:rsidRDefault="001A66DC" w:rsidP="005349D7">
            <w:pPr>
              <w:pStyle w:val="BodyText"/>
              <w:rPr>
                <w:sz w:val="22"/>
                <w:szCs w:val="22"/>
              </w:rPr>
            </w:pPr>
            <w:r w:rsidRPr="007E17BB">
              <w:rPr>
                <w:sz w:val="22"/>
                <w:szCs w:val="22"/>
              </w:rPr>
              <w:t xml:space="preserve">Discount factor of </w:t>
            </w:r>
            <w:r w:rsidR="008C597D" w:rsidRPr="007E17BB">
              <w:rPr>
                <w:sz w:val="22"/>
                <w:szCs w:val="22"/>
              </w:rPr>
              <w:t>lenders</w:t>
            </w:r>
          </w:p>
        </w:tc>
        <w:tc>
          <w:tcPr>
            <w:tcW w:w="983" w:type="dxa"/>
          </w:tcPr>
          <w:p w14:paraId="1975792A" w14:textId="77777777" w:rsidR="00CE6E5C" w:rsidRPr="007E17BB" w:rsidRDefault="001A66DC" w:rsidP="007E17BB">
            <w:pPr>
              <w:pStyle w:val="BodyText"/>
              <w:jc w:val="center"/>
              <w:rPr>
                <w:sz w:val="22"/>
                <w:szCs w:val="22"/>
              </w:rPr>
            </w:pPr>
            <w:r w:rsidRPr="007E17BB">
              <w:rPr>
                <w:sz w:val="22"/>
                <w:szCs w:val="22"/>
              </w:rPr>
              <w:t>0.99</w:t>
            </w:r>
          </w:p>
        </w:tc>
        <w:tc>
          <w:tcPr>
            <w:tcW w:w="2835" w:type="dxa"/>
          </w:tcPr>
          <w:p w14:paraId="4AB60245" w14:textId="77777777" w:rsidR="00CE6E5C" w:rsidRPr="007E17BB" w:rsidRDefault="001A66DC" w:rsidP="005349D7">
            <w:pPr>
              <w:pStyle w:val="BodyText"/>
              <w:rPr>
                <w:sz w:val="22"/>
                <w:szCs w:val="22"/>
              </w:rPr>
            </w:pPr>
            <w:r w:rsidRPr="007E17BB">
              <w:rPr>
                <w:sz w:val="22"/>
                <w:szCs w:val="22"/>
              </w:rPr>
              <w:t>Literature</w:t>
            </w:r>
          </w:p>
        </w:tc>
      </w:tr>
      <w:tr w:rsidR="00285375" w14:paraId="04063393" w14:textId="77777777" w:rsidTr="0074762E">
        <w:tc>
          <w:tcPr>
            <w:tcW w:w="1311" w:type="dxa"/>
          </w:tcPr>
          <w:p w14:paraId="6A42F645" w14:textId="77777777" w:rsidR="003A5B97" w:rsidRPr="007E17BB" w:rsidRDefault="001A66DC" w:rsidP="007A1700">
            <w:pPr>
              <w:pStyle w:val="BodyText"/>
              <w:jc w:val="center"/>
              <w:rPr>
                <w:i/>
                <w:sz w:val="22"/>
                <w:szCs w:val="22"/>
              </w:rPr>
            </w:pPr>
            <w:r w:rsidRPr="007E17BB">
              <w:rPr>
                <w:rFonts w:ascii="Cambria" w:hAnsi="Cambria"/>
                <w:i/>
                <w:sz w:val="22"/>
                <w:szCs w:val="22"/>
              </w:rPr>
              <w:lastRenderedPageBreak/>
              <w:t>β</w:t>
            </w:r>
            <w:r w:rsidRPr="007E17BB">
              <w:rPr>
                <w:i/>
                <w:sz w:val="22"/>
                <w:szCs w:val="22"/>
              </w:rPr>
              <w:t>'</w:t>
            </w:r>
          </w:p>
        </w:tc>
        <w:tc>
          <w:tcPr>
            <w:tcW w:w="3230" w:type="dxa"/>
          </w:tcPr>
          <w:p w14:paraId="25EEA59C" w14:textId="77777777" w:rsidR="003A5B97" w:rsidRPr="007E17BB" w:rsidRDefault="001A66DC" w:rsidP="005349D7">
            <w:pPr>
              <w:pStyle w:val="BodyText"/>
              <w:rPr>
                <w:sz w:val="22"/>
                <w:szCs w:val="22"/>
              </w:rPr>
            </w:pPr>
            <w:r w:rsidRPr="007E17BB">
              <w:rPr>
                <w:sz w:val="22"/>
                <w:szCs w:val="22"/>
              </w:rPr>
              <w:t>Discount factor of borrowers</w:t>
            </w:r>
          </w:p>
        </w:tc>
        <w:tc>
          <w:tcPr>
            <w:tcW w:w="983" w:type="dxa"/>
          </w:tcPr>
          <w:p w14:paraId="4F5424C4" w14:textId="77777777" w:rsidR="003A5B97" w:rsidRPr="007E17BB" w:rsidRDefault="001A66DC" w:rsidP="007E17BB">
            <w:pPr>
              <w:pStyle w:val="BodyText"/>
              <w:jc w:val="center"/>
              <w:rPr>
                <w:sz w:val="22"/>
                <w:szCs w:val="22"/>
              </w:rPr>
            </w:pPr>
            <w:r w:rsidRPr="007E17BB">
              <w:rPr>
                <w:sz w:val="22"/>
                <w:szCs w:val="22"/>
              </w:rPr>
              <w:t>0.975</w:t>
            </w:r>
          </w:p>
        </w:tc>
        <w:tc>
          <w:tcPr>
            <w:tcW w:w="2835" w:type="dxa"/>
          </w:tcPr>
          <w:p w14:paraId="6A135DE6" w14:textId="77777777" w:rsidR="003A5B97" w:rsidRPr="007E17BB" w:rsidRDefault="001A66DC" w:rsidP="005349D7">
            <w:pPr>
              <w:pStyle w:val="BodyText"/>
              <w:rPr>
                <w:sz w:val="22"/>
                <w:szCs w:val="22"/>
              </w:rPr>
            </w:pPr>
            <w:r w:rsidRPr="007E17BB">
              <w:rPr>
                <w:sz w:val="22"/>
                <w:szCs w:val="22"/>
              </w:rPr>
              <w:t>Literature</w:t>
            </w:r>
          </w:p>
        </w:tc>
      </w:tr>
      <w:tr w:rsidR="00285375" w14:paraId="1C88CAF8" w14:textId="77777777" w:rsidTr="0074762E">
        <w:tc>
          <w:tcPr>
            <w:tcW w:w="1311" w:type="dxa"/>
          </w:tcPr>
          <w:p w14:paraId="7CF53AE8" w14:textId="77777777" w:rsidR="003A5B97" w:rsidRPr="007E17BB" w:rsidRDefault="001A66DC" w:rsidP="007A1700">
            <w:pPr>
              <w:pStyle w:val="BodyText"/>
              <w:jc w:val="center"/>
              <w:rPr>
                <w:rFonts w:asciiTheme="majorHAnsi" w:hAnsiTheme="majorHAnsi"/>
                <w:i/>
                <w:sz w:val="22"/>
                <w:szCs w:val="22"/>
              </w:rPr>
            </w:pPr>
            <m:oMathPara>
              <m:oMath>
                <m:r>
                  <m:rPr>
                    <m:nor/>
                  </m:rPr>
                  <w:rPr>
                    <w:rFonts w:ascii="Calibri" w:hAnsi="Calibri" w:cs="Calibri"/>
                    <w:i/>
                    <w:sz w:val="22"/>
                    <w:szCs w:val="22"/>
                  </w:rPr>
                  <m:t>ω</m:t>
                </m:r>
              </m:oMath>
            </m:oMathPara>
          </w:p>
        </w:tc>
        <w:tc>
          <w:tcPr>
            <w:tcW w:w="3230" w:type="dxa"/>
          </w:tcPr>
          <w:p w14:paraId="66E1D26F" w14:textId="77777777" w:rsidR="003A5B97" w:rsidRPr="007E17BB" w:rsidRDefault="001A66DC" w:rsidP="005349D7">
            <w:pPr>
              <w:pStyle w:val="BodyText"/>
              <w:rPr>
                <w:sz w:val="22"/>
                <w:szCs w:val="22"/>
              </w:rPr>
            </w:pPr>
            <w:r w:rsidRPr="007E17BB">
              <w:rPr>
                <w:sz w:val="22"/>
                <w:szCs w:val="22"/>
              </w:rPr>
              <w:t xml:space="preserve">Interest rate </w:t>
            </w:r>
            <w:r w:rsidR="008806C2" w:rsidRPr="007E17BB">
              <w:rPr>
                <w:sz w:val="22"/>
                <w:szCs w:val="22"/>
              </w:rPr>
              <w:t>spread (</w:t>
            </w:r>
            <w:r w:rsidRPr="007E17BB">
              <w:rPr>
                <w:sz w:val="22"/>
                <w:szCs w:val="22"/>
              </w:rPr>
              <w:t>in annual terms)</w:t>
            </w:r>
          </w:p>
        </w:tc>
        <w:tc>
          <w:tcPr>
            <w:tcW w:w="983" w:type="dxa"/>
          </w:tcPr>
          <w:p w14:paraId="0052EBC8" w14:textId="77777777" w:rsidR="003A5B97" w:rsidRPr="007E17BB" w:rsidRDefault="001A66DC" w:rsidP="007E17BB">
            <w:pPr>
              <w:pStyle w:val="BodyText"/>
              <w:jc w:val="center"/>
              <w:rPr>
                <w:sz w:val="22"/>
                <w:szCs w:val="22"/>
              </w:rPr>
            </w:pPr>
            <w:r w:rsidRPr="007E17BB">
              <w:rPr>
                <w:sz w:val="22"/>
                <w:szCs w:val="22"/>
              </w:rPr>
              <w:t>1.5%</w:t>
            </w:r>
          </w:p>
        </w:tc>
        <w:tc>
          <w:tcPr>
            <w:tcW w:w="2835" w:type="dxa"/>
          </w:tcPr>
          <w:p w14:paraId="082C0A03" w14:textId="5A2ABA81" w:rsidR="003A5B97" w:rsidRPr="007E17BB" w:rsidRDefault="001A66DC" w:rsidP="00EC7FDA">
            <w:pPr>
              <w:pStyle w:val="BodyText"/>
              <w:rPr>
                <w:sz w:val="22"/>
                <w:szCs w:val="22"/>
              </w:rPr>
            </w:pPr>
            <w:r w:rsidRPr="007E17BB">
              <w:rPr>
                <w:sz w:val="22"/>
                <w:szCs w:val="22"/>
              </w:rPr>
              <w:fldChar w:fldCharType="begin"/>
            </w:r>
            <w:r w:rsidR="00EC7FDA">
              <w:rPr>
                <w:sz w:val="22"/>
                <w:szCs w:val="22"/>
              </w:rPr>
              <w:instrText xml:space="preserve"> ADDIN ZOTERO_ITEM CSL_CITATION {"citationID":"hxtYlbYH","properties":{"formattedCitation":"Ilek and Cohen (2023)","plainCitation":"Ilek and Cohen (2023)","noteIndex":0},"citationItems":[{"id":1565,"uris":["http://zotero.org/users/6680486/items/BX3BEEQH"],"itemData":{"id":1565,"type":"article","abstract":"We propose a semi-structural DSGE model for the Israeli economy, as a small open economy, which contains a financial friction in the household sector credit market. Such a friction is reflected in a positive relationship between households’ leverage ratio and their interest rate (credit spread) on debt, as evident in the Israeli data. Our main purpose is to evaluate the implications of such a friction on the implementation of monetary policy and macroprudential policy. Our two main findings are: First, it is important that the monetary policy will react also to developments in the credit market, such as credit spread widening, to increase effectiveness in achieving its main goals of stabilizing inflation and real activity. Second, macroprudential policy may increase the sensitivity of households’ credit spread to their leverage. Thus, this policy can mitigate or even prevent over-borrowing and reduce the risk of a debt deleveraging crisis. Moreover, in a case of demand weakness and debt deleveraging, in addition to accommodative monetary policy, the macroprudential policy may contribute to stimulating demand due to a corresponding reduction in credit spread.","citation-key":"ilekSemiStructuralModelHousehold2023","collection-number":"2023.03","collection-title":"Discussion Paper Series","DOI":"10.2139/ssrn.4368479","language":"en","license":"CC0 1.0 Universal Public Domain Dedication","note":"with comments to further investigation and updating","publisher-place":"Bank of Israel Research Department","source":"Zotero","title":"A Semi-Structural Model with Household Debt for Israel","URL":"https://papers.ssrn.com/sol3/papers.cfm?abstract_id=4368479","author":[{"family":"Ilek","given":"Alex"},{"family":"Cohen","given":"Nimrod"}],"issued":{"date-parts":[["2023",2,7]]}}}],"schema":"https://github.com/citation-style-language/schema/raw/master/csl-citation.json"} </w:instrText>
            </w:r>
            <w:r w:rsidRPr="007E17BB">
              <w:rPr>
                <w:sz w:val="22"/>
                <w:szCs w:val="22"/>
              </w:rPr>
              <w:fldChar w:fldCharType="separate"/>
            </w:r>
            <w:r w:rsidR="00EC7FDA" w:rsidRPr="00EC7FDA">
              <w:rPr>
                <w:rFonts w:ascii="Utopia" w:hAnsi="Utopia"/>
                <w:sz w:val="22"/>
              </w:rPr>
              <w:t>Ilek and Cohen (2023)</w:t>
            </w:r>
            <w:r w:rsidRPr="007E17BB">
              <w:rPr>
                <w:sz w:val="22"/>
                <w:szCs w:val="22"/>
              </w:rPr>
              <w:fldChar w:fldCharType="end"/>
            </w:r>
          </w:p>
        </w:tc>
      </w:tr>
      <w:tr w:rsidR="00285375" w14:paraId="1CB7FD13" w14:textId="77777777" w:rsidTr="0074762E">
        <w:tc>
          <w:tcPr>
            <w:tcW w:w="1311" w:type="dxa"/>
          </w:tcPr>
          <w:p w14:paraId="46DF3E96" w14:textId="77777777" w:rsidR="00C83E8B" w:rsidRPr="007E17BB" w:rsidRDefault="001A66DC" w:rsidP="007A1700">
            <w:pPr>
              <w:pStyle w:val="BodyText"/>
              <w:jc w:val="center"/>
              <w:rPr>
                <w:rFonts w:asciiTheme="majorHAnsi" w:hAnsiTheme="majorHAnsi"/>
                <w:i/>
                <w:sz w:val="22"/>
                <w:szCs w:val="22"/>
              </w:rPr>
            </w:pPr>
            <m:oMathPara>
              <m:oMath>
                <m:r>
                  <w:rPr>
                    <w:rFonts w:ascii="Cambria Math" w:hAnsi="Cambria Math"/>
                    <w:sz w:val="22"/>
                    <w:szCs w:val="22"/>
                  </w:rPr>
                  <m:t>γ</m:t>
                </m:r>
              </m:oMath>
            </m:oMathPara>
          </w:p>
        </w:tc>
        <w:tc>
          <w:tcPr>
            <w:tcW w:w="3230" w:type="dxa"/>
          </w:tcPr>
          <w:p w14:paraId="7D70DB6A" w14:textId="77777777" w:rsidR="00C83E8B" w:rsidRPr="007E17BB" w:rsidRDefault="001A66DC" w:rsidP="005349D7">
            <w:pPr>
              <w:pStyle w:val="BodyText"/>
              <w:rPr>
                <w:sz w:val="22"/>
                <w:szCs w:val="22"/>
              </w:rPr>
            </w:pPr>
            <w:r w:rsidRPr="007E17BB">
              <w:rPr>
                <w:sz w:val="22"/>
                <w:szCs w:val="22"/>
              </w:rPr>
              <w:t>Proportion of ownership in the housing bundle for lenders</w:t>
            </w:r>
          </w:p>
        </w:tc>
        <w:tc>
          <w:tcPr>
            <w:tcW w:w="983" w:type="dxa"/>
          </w:tcPr>
          <w:p w14:paraId="6D9E6EA3" w14:textId="77777777" w:rsidR="00C83E8B" w:rsidRPr="007E17BB" w:rsidRDefault="001A66DC" w:rsidP="007E17BB">
            <w:pPr>
              <w:pStyle w:val="BodyText"/>
              <w:jc w:val="center"/>
              <w:rPr>
                <w:sz w:val="22"/>
                <w:szCs w:val="22"/>
              </w:rPr>
            </w:pPr>
            <w:r w:rsidRPr="007E17BB">
              <w:rPr>
                <w:sz w:val="22"/>
                <w:szCs w:val="22"/>
              </w:rPr>
              <w:t>0.499</w:t>
            </w:r>
          </w:p>
        </w:tc>
        <w:tc>
          <w:tcPr>
            <w:tcW w:w="2835" w:type="dxa"/>
          </w:tcPr>
          <w:p w14:paraId="72074A3D" w14:textId="77777777" w:rsidR="00C83E8B" w:rsidRPr="007E17BB" w:rsidRDefault="001A66DC" w:rsidP="00EF643E">
            <w:pPr>
              <w:pStyle w:val="BodyText"/>
              <w:rPr>
                <w:sz w:val="22"/>
                <w:szCs w:val="22"/>
              </w:rPr>
            </w:pPr>
            <w:r w:rsidRPr="007E17BB">
              <w:rPr>
                <w:sz w:val="22"/>
                <w:szCs w:val="22"/>
              </w:rPr>
              <w:t>Authors’ calculations</w:t>
            </w:r>
          </w:p>
        </w:tc>
      </w:tr>
      <w:tr w:rsidR="00285375" w14:paraId="7DB49412" w14:textId="77777777" w:rsidTr="0074762E">
        <w:tc>
          <w:tcPr>
            <w:tcW w:w="1311" w:type="dxa"/>
          </w:tcPr>
          <w:p w14:paraId="59747F91" w14:textId="77777777" w:rsidR="00C83E8B" w:rsidRPr="007E17BB" w:rsidRDefault="001A66DC" w:rsidP="007A1700">
            <w:pPr>
              <w:pStyle w:val="BodyText"/>
              <w:jc w:val="center"/>
              <w:rPr>
                <w:rFonts w:asciiTheme="majorHAnsi" w:hAnsiTheme="majorHAnsi"/>
                <w:i/>
                <w:sz w:val="22"/>
                <w:szCs w:val="22"/>
              </w:rPr>
            </w:pPr>
            <m:oMath>
              <m:r>
                <w:rPr>
                  <w:rFonts w:ascii="Cambria Math" w:hAnsi="Cambria Math"/>
                  <w:sz w:val="22"/>
                  <w:szCs w:val="22"/>
                </w:rPr>
                <m:t>γ</m:t>
              </m:r>
            </m:oMath>
            <w:r w:rsidRPr="007E17BB">
              <w:rPr>
                <w:rFonts w:asciiTheme="majorHAnsi" w:hAnsiTheme="majorHAnsi"/>
                <w:i/>
                <w:sz w:val="22"/>
                <w:szCs w:val="22"/>
              </w:rPr>
              <w:t>'</w:t>
            </w:r>
          </w:p>
        </w:tc>
        <w:tc>
          <w:tcPr>
            <w:tcW w:w="3230" w:type="dxa"/>
          </w:tcPr>
          <w:p w14:paraId="654ECA52" w14:textId="77777777" w:rsidR="00C83E8B" w:rsidRPr="007E17BB" w:rsidRDefault="001A66DC" w:rsidP="005349D7">
            <w:pPr>
              <w:pStyle w:val="BodyText"/>
              <w:rPr>
                <w:sz w:val="22"/>
                <w:szCs w:val="22"/>
              </w:rPr>
            </w:pPr>
            <w:r w:rsidRPr="007E17BB">
              <w:rPr>
                <w:sz w:val="22"/>
                <w:szCs w:val="22"/>
              </w:rPr>
              <w:t>Proportion of ownership in the housing bundle for borrowers</w:t>
            </w:r>
          </w:p>
        </w:tc>
        <w:tc>
          <w:tcPr>
            <w:tcW w:w="983" w:type="dxa"/>
          </w:tcPr>
          <w:p w14:paraId="1AB4942B" w14:textId="77777777" w:rsidR="00C83E8B" w:rsidRPr="007E17BB" w:rsidRDefault="001A66DC" w:rsidP="00226977">
            <w:pPr>
              <w:pStyle w:val="BodyText"/>
              <w:jc w:val="center"/>
              <w:rPr>
                <w:sz w:val="22"/>
                <w:szCs w:val="22"/>
              </w:rPr>
            </w:pPr>
            <w:r>
              <w:rPr>
                <w:sz w:val="22"/>
                <w:szCs w:val="22"/>
              </w:rPr>
              <w:t>0.65</w:t>
            </w:r>
            <w:r w:rsidR="00237EC1">
              <w:rPr>
                <w:sz w:val="22"/>
                <w:szCs w:val="22"/>
              </w:rPr>
              <w:t>2</w:t>
            </w:r>
          </w:p>
        </w:tc>
        <w:tc>
          <w:tcPr>
            <w:tcW w:w="2835" w:type="dxa"/>
          </w:tcPr>
          <w:p w14:paraId="1CA4EA13" w14:textId="77777777" w:rsidR="00C83E8B" w:rsidRPr="007E17BB" w:rsidRDefault="001A66DC" w:rsidP="005349D7">
            <w:pPr>
              <w:pStyle w:val="BodyText"/>
              <w:rPr>
                <w:sz w:val="22"/>
                <w:szCs w:val="22"/>
              </w:rPr>
            </w:pPr>
            <w:r w:rsidRPr="007E17BB">
              <w:rPr>
                <w:sz w:val="22"/>
                <w:szCs w:val="22"/>
              </w:rPr>
              <w:t>Authors’ calculations</w:t>
            </w:r>
          </w:p>
        </w:tc>
      </w:tr>
      <w:tr w:rsidR="00285375" w14:paraId="41F57E1A" w14:textId="77777777" w:rsidTr="0074762E">
        <w:tc>
          <w:tcPr>
            <w:tcW w:w="1311" w:type="dxa"/>
          </w:tcPr>
          <w:p w14:paraId="13A16716" w14:textId="77777777" w:rsidR="00C83E8B" w:rsidRPr="007E17BB" w:rsidRDefault="001A66DC" w:rsidP="007A1700">
            <w:pPr>
              <w:pStyle w:val="BodyText"/>
              <w:jc w:val="center"/>
              <w:rPr>
                <w:rFonts w:asciiTheme="majorHAnsi" w:hAnsiTheme="majorHAnsi"/>
                <w:i/>
                <w:sz w:val="22"/>
                <w:szCs w:val="22"/>
              </w:rPr>
            </w:pPr>
            <m:oMathPara>
              <m:oMath>
                <m:r>
                  <w:rPr>
                    <w:rFonts w:ascii="Cambria Math" w:hAnsi="Cambria Math"/>
                    <w:sz w:val="22"/>
                    <w:szCs w:val="22"/>
                  </w:rPr>
                  <m:t>ϵ</m:t>
                </m:r>
              </m:oMath>
            </m:oMathPara>
          </w:p>
        </w:tc>
        <w:tc>
          <w:tcPr>
            <w:tcW w:w="3230" w:type="dxa"/>
          </w:tcPr>
          <w:p w14:paraId="31FC63E0" w14:textId="77777777" w:rsidR="00C83E8B" w:rsidRPr="007E17BB" w:rsidRDefault="001A66DC" w:rsidP="005349D7">
            <w:pPr>
              <w:pStyle w:val="BodyText"/>
              <w:rPr>
                <w:sz w:val="22"/>
                <w:szCs w:val="22"/>
              </w:rPr>
            </w:pPr>
            <w:proofErr w:type="spellStart"/>
            <w:r w:rsidRPr="007E17BB">
              <w:rPr>
                <w:sz w:val="22"/>
                <w:szCs w:val="22"/>
              </w:rPr>
              <w:t>Intratemporal</w:t>
            </w:r>
            <w:proofErr w:type="spellEnd"/>
            <w:r w:rsidRPr="007E17BB">
              <w:rPr>
                <w:sz w:val="22"/>
                <w:szCs w:val="22"/>
              </w:rPr>
              <w:t xml:space="preserve"> elasticity of substitution between rent and ownership for both HH</w:t>
            </w:r>
          </w:p>
        </w:tc>
        <w:tc>
          <w:tcPr>
            <w:tcW w:w="983" w:type="dxa"/>
          </w:tcPr>
          <w:p w14:paraId="3A905AA6" w14:textId="77777777" w:rsidR="00C83E8B" w:rsidRPr="007E17BB" w:rsidRDefault="001A66DC" w:rsidP="007E17BB">
            <w:pPr>
              <w:pStyle w:val="BodyText"/>
              <w:jc w:val="center"/>
              <w:rPr>
                <w:sz w:val="22"/>
                <w:szCs w:val="22"/>
              </w:rPr>
            </w:pPr>
            <w:r w:rsidRPr="007E17BB">
              <w:rPr>
                <w:sz w:val="22"/>
                <w:szCs w:val="22"/>
              </w:rPr>
              <w:t>10</w:t>
            </w:r>
          </w:p>
        </w:tc>
        <w:tc>
          <w:tcPr>
            <w:tcW w:w="2835" w:type="dxa"/>
          </w:tcPr>
          <w:p w14:paraId="4EF256B7" w14:textId="77777777" w:rsidR="00C83E8B" w:rsidRPr="007E17BB" w:rsidRDefault="001A66DC" w:rsidP="005349D7">
            <w:pPr>
              <w:pStyle w:val="BodyText"/>
              <w:rPr>
                <w:sz w:val="22"/>
                <w:szCs w:val="22"/>
              </w:rPr>
            </w:pPr>
            <w:r w:rsidRPr="007E17BB">
              <w:rPr>
                <w:sz w:val="22"/>
                <w:szCs w:val="22"/>
              </w:rPr>
              <w:t>Authors’ calculations</w:t>
            </w:r>
          </w:p>
        </w:tc>
      </w:tr>
      <w:tr w:rsidR="00285375" w14:paraId="06DA73FC" w14:textId="77777777" w:rsidTr="0074762E">
        <w:tc>
          <w:tcPr>
            <w:tcW w:w="1311" w:type="dxa"/>
          </w:tcPr>
          <w:p w14:paraId="01F37A33" w14:textId="77777777" w:rsidR="00C83E8B" w:rsidRPr="007E17BB" w:rsidRDefault="001A66DC" w:rsidP="007A1700">
            <w:pPr>
              <w:pStyle w:val="BodyText"/>
              <w:jc w:val="center"/>
              <w:rPr>
                <w:rFonts w:asciiTheme="majorHAnsi" w:hAnsiTheme="majorHAnsi"/>
                <w:i/>
                <w:sz w:val="22"/>
                <w:szCs w:val="22"/>
              </w:rPr>
            </w:pPr>
            <w:r w:rsidRPr="007E17BB">
              <w:rPr>
                <w:i/>
                <w:sz w:val="22"/>
                <w:szCs w:val="22"/>
              </w:rPr>
              <w:t>1-</w:t>
            </w:r>
            <m:oMath>
              <m:r>
                <w:rPr>
                  <w:rFonts w:ascii="Cambria Math" w:hAnsi="Cambria Math"/>
                  <w:sz w:val="22"/>
                  <w:szCs w:val="22"/>
                </w:rPr>
                <m:t>τ</m:t>
              </m:r>
            </m:oMath>
          </w:p>
        </w:tc>
        <w:tc>
          <w:tcPr>
            <w:tcW w:w="3230" w:type="dxa"/>
          </w:tcPr>
          <w:p w14:paraId="74A3A654" w14:textId="77777777" w:rsidR="00C83E8B" w:rsidRPr="007E17BB" w:rsidRDefault="001A66DC" w:rsidP="008976D8">
            <w:pPr>
              <w:pStyle w:val="BodyText"/>
              <w:jc w:val="left"/>
              <w:rPr>
                <w:sz w:val="22"/>
                <w:szCs w:val="22"/>
              </w:rPr>
            </w:pPr>
            <w:r w:rsidRPr="007E17BB">
              <w:rPr>
                <w:sz w:val="22"/>
                <w:szCs w:val="22"/>
              </w:rPr>
              <w:t xml:space="preserve">Share of </w:t>
            </w:r>
            <w:r w:rsidR="003014EB">
              <w:rPr>
                <w:sz w:val="22"/>
                <w:szCs w:val="22"/>
              </w:rPr>
              <w:t>constrained households</w:t>
            </w:r>
          </w:p>
        </w:tc>
        <w:tc>
          <w:tcPr>
            <w:tcW w:w="983" w:type="dxa"/>
          </w:tcPr>
          <w:p w14:paraId="4530E060" w14:textId="77777777" w:rsidR="00C83E8B" w:rsidRPr="007E17BB" w:rsidRDefault="001A66DC" w:rsidP="007E17BB">
            <w:pPr>
              <w:pStyle w:val="BodyText"/>
              <w:jc w:val="center"/>
              <w:rPr>
                <w:sz w:val="22"/>
                <w:szCs w:val="22"/>
              </w:rPr>
            </w:pPr>
            <w:r w:rsidRPr="007E17BB">
              <w:rPr>
                <w:sz w:val="22"/>
                <w:szCs w:val="22"/>
              </w:rPr>
              <w:t>31.2%</w:t>
            </w:r>
          </w:p>
        </w:tc>
        <w:bookmarkStart w:id="26" w:name="OLE_LINK21"/>
        <w:tc>
          <w:tcPr>
            <w:tcW w:w="2835" w:type="dxa"/>
          </w:tcPr>
          <w:p w14:paraId="7F1C9704" w14:textId="3DCADD7D" w:rsidR="00C83E8B" w:rsidRPr="007E17BB" w:rsidRDefault="001A66DC" w:rsidP="00EC7FDA">
            <w:pPr>
              <w:pStyle w:val="BodyText"/>
              <w:rPr>
                <w:sz w:val="22"/>
                <w:szCs w:val="22"/>
              </w:rPr>
            </w:pPr>
            <w:r w:rsidRPr="007E17BB">
              <w:rPr>
                <w:sz w:val="22"/>
                <w:szCs w:val="22"/>
              </w:rPr>
              <w:fldChar w:fldCharType="begin"/>
            </w:r>
            <w:r w:rsidR="00EC7FDA">
              <w:rPr>
                <w:sz w:val="22"/>
                <w:szCs w:val="22"/>
              </w:rPr>
              <w:instrText xml:space="preserve"> ADDIN ZOTERO_ITEM CSL_CITATION {"citationID":"9OYr0cKC","properties":{"formattedCitation":"Cohen and Ilek (2024)","plainCitation":"Cohen and Ilek (2024)","noteIndex":0},"citationItems":[{"id":1561,"uris":["http://zotero.org/users/6680486/items/MXHTM5XU"],"itemData":{"id":1561,"type":"manuscript","citation-key":"cohenEstimateShareFinancially2024","genre":"Unpublished Memo","language":"hebrew","note":"</w:instrText>
            </w:r>
            <w:r w:rsidR="00EC7FDA">
              <w:rPr>
                <w:rFonts w:hint="cs"/>
                <w:sz w:val="22"/>
                <w:szCs w:val="22"/>
                <w:rtl/>
                <w:lang w:bidi="he-IL"/>
              </w:rPr>
              <w:instrText>משקי</w:instrText>
            </w:r>
            <w:r w:rsidR="00EC7FDA">
              <w:rPr>
                <w:sz w:val="22"/>
                <w:szCs w:val="22"/>
                <w:rtl/>
                <w:lang w:bidi="he-IL"/>
              </w:rPr>
              <w:instrText xml:space="preserve"> </w:instrText>
            </w:r>
            <w:r w:rsidR="00EC7FDA">
              <w:rPr>
                <w:rFonts w:hint="cs"/>
                <w:sz w:val="22"/>
                <w:szCs w:val="22"/>
                <w:rtl/>
                <w:lang w:bidi="he-IL"/>
              </w:rPr>
              <w:instrText>בית</w:instrText>
            </w:r>
            <w:r w:rsidR="00EC7FDA">
              <w:rPr>
                <w:sz w:val="22"/>
                <w:szCs w:val="22"/>
                <w:rtl/>
                <w:lang w:bidi="he-IL"/>
              </w:rPr>
              <w:instrText xml:space="preserve"> </w:instrText>
            </w:r>
            <w:r w:rsidR="00EC7FDA">
              <w:rPr>
                <w:rFonts w:hint="cs"/>
                <w:sz w:val="22"/>
                <w:szCs w:val="22"/>
                <w:rtl/>
                <w:lang w:bidi="he-IL"/>
              </w:rPr>
              <w:instrText>מוגבלים</w:instrText>
            </w:r>
            <w:r w:rsidR="00EC7FDA">
              <w:rPr>
                <w:sz w:val="22"/>
                <w:szCs w:val="22"/>
                <w:rtl/>
                <w:lang w:bidi="he-IL"/>
              </w:rPr>
              <w:instrText xml:space="preserve"> 13_03_2024</w:instrText>
            </w:r>
            <w:r w:rsidR="00EC7FDA">
              <w:rPr>
                <w:sz w:val="22"/>
                <w:szCs w:val="22"/>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Pr="007E17BB">
              <w:rPr>
                <w:sz w:val="22"/>
                <w:szCs w:val="22"/>
              </w:rPr>
              <w:fldChar w:fldCharType="separate"/>
            </w:r>
            <w:r w:rsidR="00EC7FDA" w:rsidRPr="00EC7FDA">
              <w:rPr>
                <w:rFonts w:ascii="Utopia" w:hAnsi="Utopia"/>
                <w:sz w:val="22"/>
              </w:rPr>
              <w:t>Cohen and Ilek (2024)</w:t>
            </w:r>
            <w:r w:rsidRPr="007E17BB">
              <w:rPr>
                <w:sz w:val="22"/>
                <w:szCs w:val="22"/>
              </w:rPr>
              <w:fldChar w:fldCharType="end"/>
            </w:r>
            <w:bookmarkEnd w:id="26"/>
          </w:p>
        </w:tc>
      </w:tr>
      <w:tr w:rsidR="00285375" w14:paraId="172188FD" w14:textId="77777777" w:rsidTr="0074762E">
        <w:tc>
          <w:tcPr>
            <w:tcW w:w="1311" w:type="dxa"/>
          </w:tcPr>
          <w:p w14:paraId="05A04405" w14:textId="77777777" w:rsidR="00FF7B89" w:rsidRPr="00C67CC3" w:rsidRDefault="001A66DC" w:rsidP="00C67CC3">
            <w:pPr>
              <w:pStyle w:val="BodyText"/>
              <w:rPr>
                <w:sz w:val="22"/>
                <w:szCs w:val="22"/>
              </w:rPr>
            </w:pPr>
            <m:oMathPara>
              <m:oMath>
                <m:r>
                  <m:rPr>
                    <m:sty m:val="p"/>
                  </m:rPr>
                  <w:rPr>
                    <w:rFonts w:ascii="Cambria Math" w:hAnsi="Cambria Math"/>
                    <w:sz w:val="22"/>
                    <w:szCs w:val="22"/>
                  </w:rPr>
                  <m:t>Υ</m:t>
                </m:r>
              </m:oMath>
            </m:oMathPara>
          </w:p>
        </w:tc>
        <w:tc>
          <w:tcPr>
            <w:tcW w:w="3230" w:type="dxa"/>
          </w:tcPr>
          <w:p w14:paraId="705E3381" w14:textId="77777777" w:rsidR="00FF7B89" w:rsidRDefault="001A66DC" w:rsidP="00C67CC3">
            <w:pPr>
              <w:pStyle w:val="BodyText"/>
              <w:rPr>
                <w:sz w:val="22"/>
                <w:szCs w:val="22"/>
              </w:rPr>
            </w:pPr>
            <w:r w:rsidRPr="00C67CC3">
              <w:rPr>
                <w:sz w:val="22"/>
                <w:szCs w:val="22"/>
              </w:rPr>
              <w:t xml:space="preserve">Repayment </w:t>
            </w:r>
            <w:r w:rsidR="00B76236">
              <w:rPr>
                <w:sz w:val="22"/>
                <w:szCs w:val="22"/>
              </w:rPr>
              <w:t>rate of debt p</w:t>
            </w:r>
            <w:r w:rsidRPr="00C67CC3">
              <w:rPr>
                <w:sz w:val="22"/>
                <w:szCs w:val="22"/>
              </w:rPr>
              <w:t>rincipal</w:t>
            </w:r>
          </w:p>
        </w:tc>
        <w:tc>
          <w:tcPr>
            <w:tcW w:w="983" w:type="dxa"/>
          </w:tcPr>
          <w:p w14:paraId="68EAC4D6" w14:textId="77777777" w:rsidR="00FF7B89" w:rsidRDefault="001A66DC" w:rsidP="00F52E4D">
            <w:pPr>
              <w:pStyle w:val="BodyText"/>
              <w:jc w:val="center"/>
              <w:rPr>
                <w:sz w:val="22"/>
                <w:szCs w:val="22"/>
              </w:rPr>
            </w:pPr>
            <w:r>
              <w:rPr>
                <w:sz w:val="22"/>
                <w:szCs w:val="22"/>
              </w:rPr>
              <w:t>5</w:t>
            </w:r>
            <w:r w:rsidR="00BD4900">
              <w:rPr>
                <w:sz w:val="22"/>
                <w:szCs w:val="22"/>
              </w:rPr>
              <w:t>%</w:t>
            </w:r>
          </w:p>
        </w:tc>
        <w:tc>
          <w:tcPr>
            <w:tcW w:w="2835" w:type="dxa"/>
          </w:tcPr>
          <w:p w14:paraId="118E3204" w14:textId="77777777" w:rsidR="00FF7B89" w:rsidRPr="007E17BB" w:rsidRDefault="001A66DC" w:rsidP="00F52E4D">
            <w:pPr>
              <w:pStyle w:val="BodyText"/>
              <w:rPr>
                <w:sz w:val="22"/>
                <w:szCs w:val="22"/>
              </w:rPr>
            </w:pPr>
            <w:r>
              <w:rPr>
                <w:sz w:val="22"/>
                <w:szCs w:val="22"/>
              </w:rPr>
              <w:t>Data</w:t>
            </w:r>
          </w:p>
        </w:tc>
      </w:tr>
      <w:tr w:rsidR="00285375" w14:paraId="75808B1D" w14:textId="77777777" w:rsidTr="0074762E">
        <w:tc>
          <w:tcPr>
            <w:tcW w:w="1311" w:type="dxa"/>
          </w:tcPr>
          <w:p w14:paraId="7C911AF6" w14:textId="77777777" w:rsidR="00FF7B89" w:rsidRDefault="001A66DC" w:rsidP="00F52E4D">
            <w:pPr>
              <w:pStyle w:val="BodyText"/>
              <w:jc w:val="center"/>
              <w:rPr>
                <w:rFonts w:ascii="Cambria Math" w:hAnsi="Cambria Math"/>
                <w:i/>
                <w:sz w:val="22"/>
                <w:szCs w:val="22"/>
              </w:rPr>
            </w:pPr>
            <m:oMathPara>
              <m:oMath>
                <m:r>
                  <m:rPr>
                    <m:sty m:val="p"/>
                  </m:rPr>
                  <w:rPr>
                    <w:rFonts w:ascii="Cambria Math" w:hAnsi="Cambria Math"/>
                  </w:rPr>
                  <m:t>κ</m:t>
                </m:r>
              </m:oMath>
            </m:oMathPara>
          </w:p>
        </w:tc>
        <w:tc>
          <w:tcPr>
            <w:tcW w:w="3230" w:type="dxa"/>
          </w:tcPr>
          <w:p w14:paraId="65C45364" w14:textId="77777777" w:rsidR="00FF7B89" w:rsidRDefault="001A66DC" w:rsidP="0024646B">
            <w:pPr>
              <w:pStyle w:val="BodyText"/>
              <w:rPr>
                <w:sz w:val="22"/>
                <w:szCs w:val="22"/>
              </w:rPr>
            </w:pPr>
            <w:r>
              <w:rPr>
                <w:sz w:val="22"/>
                <w:szCs w:val="22"/>
              </w:rPr>
              <w:t>R</w:t>
            </w:r>
            <w:r w:rsidR="00F4558C" w:rsidRPr="006B5AB2">
              <w:rPr>
                <w:sz w:val="22"/>
                <w:szCs w:val="22"/>
              </w:rPr>
              <w:t>atio of existin</w:t>
            </w:r>
            <w:r w:rsidR="00551AD9">
              <w:rPr>
                <w:sz w:val="22"/>
                <w:szCs w:val="22"/>
              </w:rPr>
              <w:t xml:space="preserve">g home </w:t>
            </w:r>
            <w:r w:rsidR="009A106B">
              <w:rPr>
                <w:sz w:val="22"/>
                <w:szCs w:val="22"/>
              </w:rPr>
              <w:t xml:space="preserve">net </w:t>
            </w:r>
            <w:r w:rsidR="00551AD9">
              <w:rPr>
                <w:sz w:val="22"/>
                <w:szCs w:val="22"/>
              </w:rPr>
              <w:t xml:space="preserve">equity </w:t>
            </w:r>
            <w:r w:rsidR="00DD5A8D">
              <w:rPr>
                <w:sz w:val="22"/>
                <w:szCs w:val="22"/>
              </w:rPr>
              <w:t xml:space="preserve">used for a new </w:t>
            </w:r>
            <w:r w:rsidR="0024646B">
              <w:rPr>
                <w:sz w:val="22"/>
                <w:szCs w:val="22"/>
              </w:rPr>
              <w:t>credit</w:t>
            </w:r>
          </w:p>
        </w:tc>
        <w:tc>
          <w:tcPr>
            <w:tcW w:w="983" w:type="dxa"/>
          </w:tcPr>
          <w:p w14:paraId="37BFFF44" w14:textId="77777777" w:rsidR="00FF7B89" w:rsidRDefault="001A66DC" w:rsidP="00F52E4D">
            <w:pPr>
              <w:pStyle w:val="BodyText"/>
              <w:jc w:val="center"/>
              <w:rPr>
                <w:sz w:val="22"/>
                <w:szCs w:val="22"/>
              </w:rPr>
            </w:pPr>
            <w:r>
              <w:rPr>
                <w:sz w:val="22"/>
                <w:szCs w:val="22"/>
              </w:rPr>
              <w:t>0.0172</w:t>
            </w:r>
          </w:p>
        </w:tc>
        <w:tc>
          <w:tcPr>
            <w:tcW w:w="2835" w:type="dxa"/>
          </w:tcPr>
          <w:p w14:paraId="5BB0A8AC" w14:textId="77777777" w:rsidR="00F4558C" w:rsidRPr="00F4558C" w:rsidRDefault="001A66DC" w:rsidP="008976D8">
            <w:pPr>
              <w:pStyle w:val="BodyText"/>
              <w:jc w:val="left"/>
              <w:rPr>
                <w:sz w:val="22"/>
                <w:szCs w:val="22"/>
              </w:rPr>
            </w:pPr>
            <w:proofErr w:type="spellStart"/>
            <w:r>
              <w:rPr>
                <w:sz w:val="22"/>
                <w:szCs w:val="22"/>
              </w:rPr>
              <w:t>Alpanda</w:t>
            </w:r>
            <w:proofErr w:type="spellEnd"/>
            <w:r>
              <w:rPr>
                <w:sz w:val="22"/>
                <w:szCs w:val="22"/>
              </w:rPr>
              <w:t xml:space="preserve"> and Zubairy (2017</w:t>
            </w:r>
            <w:r w:rsidRPr="00F4558C">
              <w:rPr>
                <w:sz w:val="22"/>
                <w:szCs w:val="22"/>
              </w:rPr>
              <w:t>)</w:t>
            </w:r>
          </w:p>
          <w:p w14:paraId="2343A794" w14:textId="77777777" w:rsidR="00FF7B89" w:rsidRDefault="00FF7B89" w:rsidP="00F52E4D">
            <w:pPr>
              <w:pStyle w:val="BodyText"/>
              <w:rPr>
                <w:sz w:val="22"/>
                <w:szCs w:val="22"/>
              </w:rPr>
            </w:pPr>
          </w:p>
        </w:tc>
      </w:tr>
      <w:tr w:rsidR="00285375" w14:paraId="61CDB702" w14:textId="77777777" w:rsidTr="0074762E">
        <w:tc>
          <w:tcPr>
            <w:tcW w:w="1311" w:type="dxa"/>
          </w:tcPr>
          <w:p w14:paraId="5F65DA22" w14:textId="77777777" w:rsidR="00F52E4D" w:rsidRPr="007E17BB" w:rsidRDefault="001A66DC" w:rsidP="00F52E4D">
            <w:pPr>
              <w:pStyle w:val="BodyText"/>
              <w:jc w:val="center"/>
              <w:rPr>
                <w:rFonts w:eastAsia="Utopia" w:cs="Calibri"/>
                <w:i/>
                <w:sz w:val="22"/>
                <w:szCs w:val="22"/>
              </w:rPr>
            </w:pPr>
            <m:oMathPara>
              <m:oMath>
                <m:r>
                  <m:rPr>
                    <m:nor/>
                  </m:rPr>
                  <w:rPr>
                    <w:i/>
                    <w:sz w:val="22"/>
                    <w:szCs w:val="22"/>
                  </w:rPr>
                  <m:t>LTV</m:t>
                </m:r>
              </m:oMath>
            </m:oMathPara>
          </w:p>
        </w:tc>
        <w:tc>
          <w:tcPr>
            <w:tcW w:w="3230" w:type="dxa"/>
          </w:tcPr>
          <w:p w14:paraId="616E3B44" w14:textId="77777777" w:rsidR="00F52E4D" w:rsidRPr="007E17BB" w:rsidRDefault="001A66DC" w:rsidP="00F52E4D">
            <w:pPr>
              <w:pStyle w:val="BodyText"/>
              <w:rPr>
                <w:sz w:val="22"/>
                <w:szCs w:val="22"/>
              </w:rPr>
            </w:pPr>
            <w:r>
              <w:rPr>
                <w:sz w:val="22"/>
                <w:szCs w:val="22"/>
              </w:rPr>
              <w:t>Loan-to-V</w:t>
            </w:r>
            <w:r w:rsidRPr="007E17BB">
              <w:rPr>
                <w:sz w:val="22"/>
                <w:szCs w:val="22"/>
              </w:rPr>
              <w:t>alue ratio</w:t>
            </w:r>
            <w:r w:rsidR="00BA3229">
              <w:rPr>
                <w:sz w:val="22"/>
                <w:szCs w:val="22"/>
              </w:rPr>
              <w:t xml:space="preserve"> in SS</w:t>
            </w:r>
          </w:p>
        </w:tc>
        <w:tc>
          <w:tcPr>
            <w:tcW w:w="983" w:type="dxa"/>
          </w:tcPr>
          <w:p w14:paraId="5CE495A4" w14:textId="77777777" w:rsidR="00F52E4D" w:rsidRPr="007E17BB" w:rsidRDefault="001A66DC" w:rsidP="00F52E4D">
            <w:pPr>
              <w:pStyle w:val="BodyText"/>
              <w:jc w:val="center"/>
              <w:rPr>
                <w:sz w:val="22"/>
                <w:szCs w:val="22"/>
              </w:rPr>
            </w:pPr>
            <w:r w:rsidRPr="007E17BB">
              <w:rPr>
                <w:sz w:val="22"/>
                <w:szCs w:val="22"/>
              </w:rPr>
              <w:t>66%</w:t>
            </w:r>
          </w:p>
        </w:tc>
        <w:tc>
          <w:tcPr>
            <w:tcW w:w="2835" w:type="dxa"/>
          </w:tcPr>
          <w:p w14:paraId="484D8AAC" w14:textId="1A7871A5" w:rsidR="00F52E4D" w:rsidRPr="007E17BB" w:rsidRDefault="001A66DC" w:rsidP="00EC7FDA">
            <w:pPr>
              <w:pStyle w:val="BodyText"/>
              <w:rPr>
                <w:sz w:val="22"/>
                <w:szCs w:val="22"/>
              </w:rPr>
            </w:pPr>
            <w:r w:rsidRPr="007E17BB">
              <w:rPr>
                <w:sz w:val="22"/>
                <w:szCs w:val="22"/>
                <w:rtl/>
              </w:rPr>
              <w:fldChar w:fldCharType="begin"/>
            </w:r>
            <w:r w:rsidR="00EC7FDA">
              <w:rPr>
                <w:sz w:val="22"/>
                <w:szCs w:val="22"/>
              </w:rPr>
              <w:instrText xml:space="preserve"> ADDIN ZOTERO_ITEM CSL_CITATION {"citationID":"cmVMiDD8","properties":{"formattedCitation":"Cohen and Ilek (2024)","plainCitation":"Cohen and Ilek (2024)","noteIndex":0},"citationItems":[{"id":1561,"uris":["http://zotero.org/users/6680486/items/MXHTM5XU"],"itemData":{"id":1561,"type":"manuscript","citation-key":"cohenEstimateShareFinancially2024","genre":"Unpublished Memo","language":"hebrew","note":"</w:instrText>
            </w:r>
            <w:r w:rsidR="00EC7FDA">
              <w:rPr>
                <w:rFonts w:hint="cs"/>
                <w:sz w:val="22"/>
                <w:szCs w:val="22"/>
                <w:rtl/>
                <w:lang w:bidi="he-IL"/>
              </w:rPr>
              <w:instrText>משקי</w:instrText>
            </w:r>
            <w:r w:rsidR="00EC7FDA">
              <w:rPr>
                <w:sz w:val="22"/>
                <w:szCs w:val="22"/>
                <w:rtl/>
                <w:lang w:bidi="he-IL"/>
              </w:rPr>
              <w:instrText xml:space="preserve"> </w:instrText>
            </w:r>
            <w:r w:rsidR="00EC7FDA">
              <w:rPr>
                <w:rFonts w:hint="cs"/>
                <w:sz w:val="22"/>
                <w:szCs w:val="22"/>
                <w:rtl/>
                <w:lang w:bidi="he-IL"/>
              </w:rPr>
              <w:instrText>בית</w:instrText>
            </w:r>
            <w:r w:rsidR="00EC7FDA">
              <w:rPr>
                <w:sz w:val="22"/>
                <w:szCs w:val="22"/>
                <w:rtl/>
                <w:lang w:bidi="he-IL"/>
              </w:rPr>
              <w:instrText xml:space="preserve"> </w:instrText>
            </w:r>
            <w:r w:rsidR="00EC7FDA">
              <w:rPr>
                <w:rFonts w:hint="cs"/>
                <w:sz w:val="22"/>
                <w:szCs w:val="22"/>
                <w:rtl/>
                <w:lang w:bidi="he-IL"/>
              </w:rPr>
              <w:instrText>מוגבלים</w:instrText>
            </w:r>
            <w:r w:rsidR="00EC7FDA">
              <w:rPr>
                <w:sz w:val="22"/>
                <w:szCs w:val="22"/>
                <w:rtl/>
                <w:lang w:bidi="he-IL"/>
              </w:rPr>
              <w:instrText xml:space="preserve"> 13_03_2024</w:instrText>
            </w:r>
            <w:r w:rsidR="00EC7FDA">
              <w:rPr>
                <w:sz w:val="22"/>
                <w:szCs w:val="22"/>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Pr="007E17BB">
              <w:rPr>
                <w:sz w:val="22"/>
                <w:szCs w:val="22"/>
                <w:rtl/>
              </w:rPr>
              <w:fldChar w:fldCharType="separate"/>
            </w:r>
            <w:r w:rsidR="00EC7FDA" w:rsidRPr="00EC7FDA">
              <w:rPr>
                <w:rFonts w:ascii="Utopia" w:hAnsi="Utopia"/>
                <w:sz w:val="22"/>
              </w:rPr>
              <w:t>Cohen and Ilek (2024)</w:t>
            </w:r>
            <w:r w:rsidRPr="007E17BB">
              <w:rPr>
                <w:sz w:val="22"/>
                <w:szCs w:val="22"/>
                <w:rtl/>
              </w:rPr>
              <w:fldChar w:fldCharType="end"/>
            </w:r>
          </w:p>
        </w:tc>
      </w:tr>
      <w:tr w:rsidR="00285375" w14:paraId="76A658F8" w14:textId="77777777" w:rsidTr="0074762E">
        <w:tc>
          <w:tcPr>
            <w:tcW w:w="1311" w:type="dxa"/>
          </w:tcPr>
          <w:p w14:paraId="2BF2AF5B" w14:textId="77777777" w:rsidR="00F52E4D" w:rsidRPr="007E17BB" w:rsidRDefault="001A66DC" w:rsidP="00F52E4D">
            <w:pPr>
              <w:pStyle w:val="BodyText"/>
              <w:jc w:val="center"/>
              <w:rPr>
                <w:i/>
                <w:sz w:val="22"/>
                <w:szCs w:val="22"/>
              </w:rPr>
            </w:pPr>
            <m:oMathPara>
              <m:oMath>
                <m:r>
                  <w:rPr>
                    <w:rFonts w:ascii="Cambria Math" w:hAnsi="Cambria Math"/>
                    <w:sz w:val="22"/>
                    <w:szCs w:val="22"/>
                  </w:rPr>
                  <m:t>η</m:t>
                </m:r>
              </m:oMath>
            </m:oMathPara>
          </w:p>
        </w:tc>
        <w:tc>
          <w:tcPr>
            <w:tcW w:w="3230" w:type="dxa"/>
          </w:tcPr>
          <w:p w14:paraId="183DF18E" w14:textId="77777777" w:rsidR="00F52E4D" w:rsidRPr="007E17BB" w:rsidRDefault="001A66DC" w:rsidP="00F52E4D">
            <w:pPr>
              <w:pStyle w:val="BodyText"/>
              <w:rPr>
                <w:sz w:val="22"/>
                <w:szCs w:val="22"/>
              </w:rPr>
            </w:pPr>
            <w:r w:rsidRPr="007E17BB">
              <w:rPr>
                <w:sz w:val="22"/>
                <w:szCs w:val="22"/>
              </w:rPr>
              <w:t>Elasticity of substitution between intermediate consumption goods</w:t>
            </w:r>
          </w:p>
        </w:tc>
        <w:tc>
          <w:tcPr>
            <w:tcW w:w="983" w:type="dxa"/>
          </w:tcPr>
          <w:p w14:paraId="1B68909B" w14:textId="77777777" w:rsidR="00F52E4D" w:rsidRPr="007E17BB" w:rsidRDefault="001A66DC" w:rsidP="00F52E4D">
            <w:pPr>
              <w:pStyle w:val="BodyText"/>
              <w:jc w:val="center"/>
              <w:rPr>
                <w:sz w:val="22"/>
                <w:szCs w:val="22"/>
              </w:rPr>
            </w:pPr>
            <w:r w:rsidRPr="007E17BB">
              <w:rPr>
                <w:sz w:val="22"/>
                <w:szCs w:val="22"/>
              </w:rPr>
              <w:t>6</w:t>
            </w:r>
          </w:p>
        </w:tc>
        <w:tc>
          <w:tcPr>
            <w:tcW w:w="2835" w:type="dxa"/>
          </w:tcPr>
          <w:p w14:paraId="158050BE" w14:textId="77777777" w:rsidR="00F52E4D" w:rsidRPr="007E17BB" w:rsidRDefault="001A66DC" w:rsidP="00F52E4D">
            <w:pPr>
              <w:pStyle w:val="BodyText"/>
              <w:rPr>
                <w:sz w:val="22"/>
                <w:szCs w:val="22"/>
              </w:rPr>
            </w:pPr>
            <w:r w:rsidRPr="007E17BB">
              <w:rPr>
                <w:sz w:val="22"/>
                <w:szCs w:val="22"/>
              </w:rPr>
              <w:t>IL&amp;R</w:t>
            </w:r>
          </w:p>
        </w:tc>
      </w:tr>
      <w:tr w:rsidR="00285375" w14:paraId="6713E85B" w14:textId="77777777" w:rsidTr="0074762E">
        <w:tc>
          <w:tcPr>
            <w:tcW w:w="1311" w:type="dxa"/>
          </w:tcPr>
          <w:p w14:paraId="66B01B07" w14:textId="77777777" w:rsidR="00F52E4D" w:rsidRPr="007E17BB" w:rsidRDefault="00000000" w:rsidP="00F52E4D">
            <w:pPr>
              <w:pStyle w:val="BodyText"/>
              <w:jc w:val="center"/>
              <w:rPr>
                <w:rFonts w:asciiTheme="majorHAnsi" w:hAnsiTheme="majorHAnsi"/>
                <w:i/>
                <w:sz w:val="22"/>
                <w:szCs w:val="22"/>
              </w:rPr>
            </w:pPr>
            <m:oMathPara>
              <m:oMath>
                <m:sSub>
                  <m:sSubPr>
                    <m:ctrlPr>
                      <w:rPr>
                        <w:rFonts w:ascii="Cambria Math" w:hAnsi="Cambria Math"/>
                        <w:i/>
                        <w:sz w:val="22"/>
                        <w:szCs w:val="22"/>
                      </w:rPr>
                    </m:ctrlPr>
                  </m:sSubPr>
                  <m:e>
                    <m:r>
                      <w:rPr>
                        <w:rFonts w:ascii="Cambria Math" w:hAnsi="Cambria Math"/>
                        <w:sz w:val="22"/>
                        <w:szCs w:val="22"/>
                      </w:rPr>
                      <m:t>η</m:t>
                    </m:r>
                  </m:e>
                  <m:sub>
                    <m:r>
                      <w:rPr>
                        <w:rFonts w:ascii="Cambria Math" w:hAnsi="Cambria Math"/>
                        <w:sz w:val="22"/>
                        <w:szCs w:val="22"/>
                      </w:rPr>
                      <m:t>r</m:t>
                    </m:r>
                  </m:sub>
                </m:sSub>
              </m:oMath>
            </m:oMathPara>
          </w:p>
        </w:tc>
        <w:tc>
          <w:tcPr>
            <w:tcW w:w="3230" w:type="dxa"/>
          </w:tcPr>
          <w:p w14:paraId="0D09BBFB" w14:textId="77777777" w:rsidR="00F52E4D" w:rsidRPr="007E17BB" w:rsidRDefault="001A66DC" w:rsidP="00F52E4D">
            <w:pPr>
              <w:pStyle w:val="BodyText"/>
              <w:rPr>
                <w:sz w:val="22"/>
                <w:szCs w:val="22"/>
              </w:rPr>
            </w:pPr>
            <w:r w:rsidRPr="007E17BB">
              <w:rPr>
                <w:sz w:val="22"/>
                <w:szCs w:val="22"/>
              </w:rPr>
              <w:t>Elasticity of substitution between intermediate rental dwellings</w:t>
            </w:r>
          </w:p>
        </w:tc>
        <w:tc>
          <w:tcPr>
            <w:tcW w:w="983" w:type="dxa"/>
          </w:tcPr>
          <w:p w14:paraId="497D36E4" w14:textId="77777777" w:rsidR="00F52E4D" w:rsidRPr="007E17BB" w:rsidRDefault="001A66DC" w:rsidP="00F52E4D">
            <w:pPr>
              <w:pStyle w:val="BodyText"/>
              <w:jc w:val="center"/>
              <w:rPr>
                <w:sz w:val="22"/>
                <w:szCs w:val="22"/>
              </w:rPr>
            </w:pPr>
            <w:r w:rsidRPr="007E17BB">
              <w:rPr>
                <w:sz w:val="22"/>
                <w:szCs w:val="22"/>
              </w:rPr>
              <w:t>6</w:t>
            </w:r>
          </w:p>
        </w:tc>
        <w:tc>
          <w:tcPr>
            <w:tcW w:w="2835" w:type="dxa"/>
          </w:tcPr>
          <w:p w14:paraId="63AFB732" w14:textId="77777777" w:rsidR="00F52E4D" w:rsidRPr="007E17BB" w:rsidRDefault="001A66DC" w:rsidP="00F52E4D">
            <w:pPr>
              <w:pStyle w:val="BodyText"/>
              <w:rPr>
                <w:sz w:val="22"/>
                <w:szCs w:val="22"/>
              </w:rPr>
            </w:pPr>
            <w:r w:rsidRPr="007E17BB">
              <w:rPr>
                <w:sz w:val="22"/>
                <w:szCs w:val="22"/>
              </w:rPr>
              <w:t>Authors’ calculations</w:t>
            </w:r>
          </w:p>
        </w:tc>
      </w:tr>
      <w:tr w:rsidR="00285375" w14:paraId="22A3FDA4" w14:textId="77777777" w:rsidTr="0074762E">
        <w:tc>
          <w:tcPr>
            <w:tcW w:w="1311" w:type="dxa"/>
          </w:tcPr>
          <w:p w14:paraId="01C5DA2E" w14:textId="77777777" w:rsidR="00F52E4D" w:rsidRPr="007E17BB" w:rsidRDefault="001A66DC" w:rsidP="00F52E4D">
            <w:pPr>
              <w:pStyle w:val="BodyText"/>
              <w:jc w:val="center"/>
              <w:rPr>
                <w:rFonts w:asciiTheme="majorHAnsi" w:eastAsia="Utopia" w:hAnsiTheme="majorHAnsi" w:cs="Calibri"/>
                <w:i/>
                <w:sz w:val="22"/>
                <w:szCs w:val="22"/>
              </w:rPr>
            </w:pPr>
            <m:oMathPara>
              <m:oMath>
                <m:r>
                  <w:rPr>
                    <w:rFonts w:ascii="Cambria Math" w:hAnsi="Cambria Math"/>
                    <w:sz w:val="22"/>
                    <w:szCs w:val="22"/>
                  </w:rPr>
                  <m:t>θ</m:t>
                </m:r>
              </m:oMath>
            </m:oMathPara>
          </w:p>
        </w:tc>
        <w:tc>
          <w:tcPr>
            <w:tcW w:w="3230" w:type="dxa"/>
          </w:tcPr>
          <w:p w14:paraId="1E4FD880" w14:textId="77777777" w:rsidR="00F52E4D" w:rsidRPr="007E17BB" w:rsidRDefault="001A66DC" w:rsidP="00F52E4D">
            <w:pPr>
              <w:pStyle w:val="BodyText"/>
              <w:rPr>
                <w:sz w:val="22"/>
                <w:szCs w:val="22"/>
              </w:rPr>
            </w:pPr>
            <w:r w:rsidRPr="007E17BB">
              <w:rPr>
                <w:sz w:val="22"/>
                <w:szCs w:val="22"/>
              </w:rPr>
              <w:t>Curvature of utility with regard to labor for both HH</w:t>
            </w:r>
          </w:p>
        </w:tc>
        <w:tc>
          <w:tcPr>
            <w:tcW w:w="983" w:type="dxa"/>
          </w:tcPr>
          <w:p w14:paraId="78316C68" w14:textId="77777777" w:rsidR="00F52E4D" w:rsidRPr="007E17BB" w:rsidRDefault="001A66DC" w:rsidP="00F52E4D">
            <w:pPr>
              <w:pStyle w:val="BodyText"/>
              <w:jc w:val="center"/>
              <w:rPr>
                <w:sz w:val="22"/>
                <w:szCs w:val="22"/>
              </w:rPr>
            </w:pPr>
            <w:r w:rsidRPr="007E17BB">
              <w:rPr>
                <w:sz w:val="22"/>
                <w:szCs w:val="22"/>
              </w:rPr>
              <w:t>2.5</w:t>
            </w:r>
          </w:p>
        </w:tc>
        <w:tc>
          <w:tcPr>
            <w:tcW w:w="2835" w:type="dxa"/>
          </w:tcPr>
          <w:p w14:paraId="1B18D4AF" w14:textId="77777777" w:rsidR="00F52E4D" w:rsidRPr="007E17BB" w:rsidRDefault="001A66DC" w:rsidP="00F52E4D">
            <w:pPr>
              <w:pStyle w:val="BodyText"/>
              <w:rPr>
                <w:sz w:val="22"/>
                <w:szCs w:val="22"/>
              </w:rPr>
            </w:pPr>
            <w:r w:rsidRPr="007E17BB">
              <w:rPr>
                <w:sz w:val="22"/>
                <w:szCs w:val="22"/>
              </w:rPr>
              <w:t>IL&amp;R</w:t>
            </w:r>
          </w:p>
        </w:tc>
      </w:tr>
      <w:tr w:rsidR="00285375" w14:paraId="7B199252" w14:textId="77777777" w:rsidTr="0074762E">
        <w:tc>
          <w:tcPr>
            <w:tcW w:w="1311" w:type="dxa"/>
          </w:tcPr>
          <w:p w14:paraId="08463BAC" w14:textId="77777777" w:rsidR="00F52E4D" w:rsidRPr="007E17BB" w:rsidRDefault="001A66DC" w:rsidP="00F52E4D">
            <w:pPr>
              <w:pStyle w:val="BodyText"/>
              <w:jc w:val="center"/>
              <w:rPr>
                <w:rFonts w:asciiTheme="majorHAnsi" w:eastAsia="Utopia" w:hAnsiTheme="majorHAnsi" w:cs="Calibri"/>
                <w:i/>
                <w:sz w:val="22"/>
                <w:szCs w:val="22"/>
              </w:rPr>
            </w:pPr>
            <m:oMath>
              <m:r>
                <w:rPr>
                  <w:rFonts w:ascii="Cambria Math" w:hAnsi="Cambria Math"/>
                  <w:sz w:val="22"/>
                  <w:szCs w:val="22"/>
                </w:rPr>
                <m:t>ϖ</m:t>
              </m:r>
            </m:oMath>
            <w:r w:rsidRPr="007E17BB">
              <w:rPr>
                <w:rFonts w:asciiTheme="majorHAnsi" w:hAnsiTheme="majorHAnsi"/>
                <w:i/>
                <w:sz w:val="22"/>
                <w:szCs w:val="22"/>
              </w:rPr>
              <w:t xml:space="preserve">, </w:t>
            </w:r>
            <m:oMath>
              <m:r>
                <w:rPr>
                  <w:rFonts w:ascii="Cambria Math" w:hAnsi="Cambria Math"/>
                  <w:sz w:val="22"/>
                  <w:szCs w:val="22"/>
                </w:rPr>
                <m:t>ϕ</m:t>
              </m:r>
            </m:oMath>
          </w:p>
        </w:tc>
        <w:tc>
          <w:tcPr>
            <w:tcW w:w="3230" w:type="dxa"/>
          </w:tcPr>
          <w:p w14:paraId="096BE6B7" w14:textId="77777777" w:rsidR="00F52E4D" w:rsidRPr="007E17BB" w:rsidRDefault="001A66DC" w:rsidP="00F52E4D">
            <w:pPr>
              <w:pStyle w:val="BodyText"/>
              <w:rPr>
                <w:sz w:val="22"/>
                <w:szCs w:val="22"/>
              </w:rPr>
            </w:pPr>
            <w:r w:rsidRPr="007E17BB">
              <w:rPr>
                <w:sz w:val="22"/>
                <w:szCs w:val="22"/>
              </w:rPr>
              <w:t>Degree of inflation indexation of consumption and rental prices</w:t>
            </w:r>
          </w:p>
        </w:tc>
        <w:tc>
          <w:tcPr>
            <w:tcW w:w="983" w:type="dxa"/>
          </w:tcPr>
          <w:p w14:paraId="0B7EBAEC" w14:textId="77777777" w:rsidR="00F52E4D" w:rsidRPr="007E17BB" w:rsidRDefault="001A66DC" w:rsidP="00F52E4D">
            <w:pPr>
              <w:pStyle w:val="BodyText"/>
              <w:jc w:val="center"/>
              <w:rPr>
                <w:sz w:val="22"/>
                <w:szCs w:val="22"/>
              </w:rPr>
            </w:pPr>
            <w:r w:rsidRPr="007E17BB">
              <w:rPr>
                <w:sz w:val="22"/>
                <w:szCs w:val="22"/>
              </w:rPr>
              <w:t>0.3</w:t>
            </w:r>
          </w:p>
        </w:tc>
        <w:tc>
          <w:tcPr>
            <w:tcW w:w="2835" w:type="dxa"/>
          </w:tcPr>
          <w:p w14:paraId="17D5AB4E" w14:textId="4725A49D" w:rsidR="00F52E4D" w:rsidRPr="007E17BB" w:rsidRDefault="001A66DC" w:rsidP="00EC7FDA">
            <w:pPr>
              <w:pStyle w:val="BodyText"/>
              <w:rPr>
                <w:sz w:val="22"/>
                <w:szCs w:val="22"/>
              </w:rPr>
            </w:pPr>
            <w:r w:rsidRPr="007E17BB">
              <w:rPr>
                <w:sz w:val="22"/>
                <w:szCs w:val="22"/>
                <w:rtl/>
              </w:rPr>
              <w:fldChar w:fldCharType="begin"/>
            </w:r>
            <w:r w:rsidR="00EC7FDA">
              <w:rPr>
                <w:sz w:val="22"/>
                <w:szCs w:val="22"/>
              </w:rPr>
              <w:instrText xml:space="preserve"> ADDIN ZOTERO_ITEM CSL_CITATION {"citationID":"R4PARx9b","properties":{"formattedCitation":"Argov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Pr="007E17BB">
              <w:rPr>
                <w:sz w:val="22"/>
                <w:szCs w:val="22"/>
                <w:rtl/>
              </w:rPr>
              <w:fldChar w:fldCharType="separate"/>
            </w:r>
            <w:r w:rsidR="00EC7FDA" w:rsidRPr="00EC7FDA">
              <w:rPr>
                <w:rFonts w:ascii="Utopia" w:hAnsi="Utopia"/>
                <w:sz w:val="22"/>
              </w:rPr>
              <w:t>Argov et al. (2012)</w:t>
            </w:r>
            <w:r w:rsidRPr="007E17BB">
              <w:rPr>
                <w:sz w:val="22"/>
                <w:szCs w:val="22"/>
                <w:rtl/>
              </w:rPr>
              <w:fldChar w:fldCharType="end"/>
            </w:r>
            <w:r w:rsidRPr="007E17BB">
              <w:rPr>
                <w:sz w:val="22"/>
                <w:szCs w:val="22"/>
              </w:rPr>
              <w:t xml:space="preserve"> and authors’ considerations</w:t>
            </w:r>
          </w:p>
        </w:tc>
      </w:tr>
      <w:tr w:rsidR="00285375" w14:paraId="57673967" w14:textId="77777777" w:rsidTr="0074762E">
        <w:tc>
          <w:tcPr>
            <w:tcW w:w="1311" w:type="dxa"/>
          </w:tcPr>
          <w:p w14:paraId="1F0F3C77" w14:textId="77777777" w:rsidR="00F52E4D" w:rsidRPr="007E17BB" w:rsidRDefault="001A66DC" w:rsidP="00F52E4D">
            <w:pPr>
              <w:pStyle w:val="BodyText"/>
              <w:jc w:val="center"/>
              <w:rPr>
                <w:rFonts w:asciiTheme="majorHAnsi" w:hAnsiTheme="majorHAnsi"/>
                <w:i/>
                <w:sz w:val="22"/>
                <w:szCs w:val="22"/>
              </w:rPr>
            </w:pPr>
            <m:oMathPara>
              <m:oMath>
                <m:r>
                  <w:rPr>
                    <w:rFonts w:ascii="Cambria Math" w:hAnsi="Cambria Math"/>
                    <w:sz w:val="22"/>
                    <w:szCs w:val="22"/>
                  </w:rPr>
                  <m:t>χ</m:t>
                </m:r>
              </m:oMath>
            </m:oMathPara>
          </w:p>
        </w:tc>
        <w:tc>
          <w:tcPr>
            <w:tcW w:w="3230" w:type="dxa"/>
          </w:tcPr>
          <w:p w14:paraId="268F71A1" w14:textId="77777777" w:rsidR="00F52E4D" w:rsidRPr="007E17BB" w:rsidRDefault="001A66DC" w:rsidP="00F52E4D">
            <w:pPr>
              <w:pStyle w:val="BodyText"/>
              <w:rPr>
                <w:sz w:val="22"/>
                <w:szCs w:val="22"/>
              </w:rPr>
            </w:pPr>
            <w:r w:rsidRPr="007E17BB">
              <w:rPr>
                <w:sz w:val="22"/>
                <w:szCs w:val="22"/>
              </w:rPr>
              <w:t>Parameter of consumption price adjustment in cost function</w:t>
            </w:r>
          </w:p>
        </w:tc>
        <w:tc>
          <w:tcPr>
            <w:tcW w:w="983" w:type="dxa"/>
          </w:tcPr>
          <w:p w14:paraId="68070381" w14:textId="77777777" w:rsidR="00F52E4D" w:rsidRPr="007E17BB" w:rsidRDefault="001A66DC" w:rsidP="00F52E4D">
            <w:pPr>
              <w:pStyle w:val="BodyText"/>
              <w:jc w:val="center"/>
              <w:rPr>
                <w:sz w:val="22"/>
                <w:szCs w:val="22"/>
              </w:rPr>
            </w:pPr>
            <w:r w:rsidRPr="007E17BB">
              <w:rPr>
                <w:sz w:val="22"/>
                <w:szCs w:val="22"/>
              </w:rPr>
              <w:t>95</w:t>
            </w:r>
          </w:p>
        </w:tc>
        <w:tc>
          <w:tcPr>
            <w:tcW w:w="2835" w:type="dxa"/>
          </w:tcPr>
          <w:p w14:paraId="701E59C8" w14:textId="77777777" w:rsidR="00F52E4D" w:rsidRPr="007E17BB" w:rsidRDefault="001A66DC" w:rsidP="00F52E4D">
            <w:pPr>
              <w:pStyle w:val="BodyText"/>
              <w:rPr>
                <w:sz w:val="22"/>
                <w:szCs w:val="22"/>
              </w:rPr>
            </w:pPr>
            <w:r w:rsidRPr="007E17BB">
              <w:rPr>
                <w:sz w:val="22"/>
                <w:szCs w:val="22"/>
              </w:rPr>
              <w:t>IL&amp;R</w:t>
            </w:r>
          </w:p>
        </w:tc>
      </w:tr>
      <w:tr w:rsidR="00285375" w14:paraId="44E8EEF5" w14:textId="77777777" w:rsidTr="0074762E">
        <w:tc>
          <w:tcPr>
            <w:tcW w:w="1311" w:type="dxa"/>
          </w:tcPr>
          <w:p w14:paraId="2E12060D" w14:textId="77777777" w:rsidR="00F52E4D" w:rsidRPr="007E17BB" w:rsidRDefault="001A66DC" w:rsidP="00F52E4D">
            <w:pPr>
              <w:pStyle w:val="BodyText"/>
              <w:jc w:val="center"/>
              <w:rPr>
                <w:rFonts w:asciiTheme="majorHAnsi" w:eastAsia="Utopia" w:hAnsiTheme="majorHAnsi" w:cs="Calibri"/>
                <w:i/>
                <w:sz w:val="22"/>
                <w:szCs w:val="22"/>
              </w:rPr>
            </w:pPr>
            <m:oMathPara>
              <m:oMath>
                <m:r>
                  <w:rPr>
                    <w:rFonts w:ascii="Cambria Math" w:hAnsi="Cambria Math"/>
                    <w:sz w:val="22"/>
                    <w:szCs w:val="22"/>
                  </w:rPr>
                  <w:lastRenderedPageBreak/>
                  <m:t>Θ</m:t>
                </m:r>
              </m:oMath>
            </m:oMathPara>
          </w:p>
        </w:tc>
        <w:tc>
          <w:tcPr>
            <w:tcW w:w="3230" w:type="dxa"/>
          </w:tcPr>
          <w:p w14:paraId="047EEE34" w14:textId="77777777" w:rsidR="00F52E4D" w:rsidRPr="007E17BB" w:rsidRDefault="001A66DC" w:rsidP="00F52E4D">
            <w:pPr>
              <w:pStyle w:val="BodyText"/>
              <w:rPr>
                <w:sz w:val="22"/>
                <w:szCs w:val="22"/>
              </w:rPr>
            </w:pPr>
            <w:r w:rsidRPr="007E17BB">
              <w:rPr>
                <w:sz w:val="22"/>
                <w:szCs w:val="22"/>
              </w:rPr>
              <w:t>Parameter of rent price adjustment in cost function</w:t>
            </w:r>
          </w:p>
        </w:tc>
        <w:tc>
          <w:tcPr>
            <w:tcW w:w="983" w:type="dxa"/>
          </w:tcPr>
          <w:p w14:paraId="1484ED53" w14:textId="77777777" w:rsidR="00F52E4D" w:rsidRPr="007E17BB" w:rsidRDefault="001A66DC" w:rsidP="00F52E4D">
            <w:pPr>
              <w:pStyle w:val="BodyText"/>
              <w:jc w:val="center"/>
              <w:rPr>
                <w:sz w:val="22"/>
                <w:szCs w:val="22"/>
              </w:rPr>
            </w:pPr>
            <w:r w:rsidRPr="007E17BB">
              <w:rPr>
                <w:sz w:val="22"/>
                <w:szCs w:val="22"/>
              </w:rPr>
              <w:t>311</w:t>
            </w:r>
          </w:p>
        </w:tc>
        <w:tc>
          <w:tcPr>
            <w:tcW w:w="2835" w:type="dxa"/>
          </w:tcPr>
          <w:p w14:paraId="4A9157FA" w14:textId="77777777" w:rsidR="00F52E4D" w:rsidRPr="007E17BB" w:rsidRDefault="001A66DC" w:rsidP="00F52E4D">
            <w:pPr>
              <w:pStyle w:val="BodyText"/>
              <w:rPr>
                <w:sz w:val="22"/>
                <w:szCs w:val="22"/>
              </w:rPr>
            </w:pPr>
            <w:r w:rsidRPr="007E17BB">
              <w:rPr>
                <w:sz w:val="22"/>
                <w:szCs w:val="22"/>
              </w:rPr>
              <w:t>Authors’ calculations</w:t>
            </w:r>
          </w:p>
        </w:tc>
      </w:tr>
      <w:tr w:rsidR="00285375" w14:paraId="3D7FBC58" w14:textId="77777777" w:rsidTr="0074762E">
        <w:tc>
          <w:tcPr>
            <w:tcW w:w="1311" w:type="dxa"/>
          </w:tcPr>
          <w:p w14:paraId="3723FE60" w14:textId="77777777" w:rsidR="00F52E4D" w:rsidRPr="007E17BB" w:rsidRDefault="00000000" w:rsidP="00F52E4D">
            <w:pPr>
              <w:pStyle w:val="BodyText"/>
              <w:jc w:val="center"/>
              <w:rPr>
                <w:rFonts w:asciiTheme="majorHAnsi" w:eastAsia="Utopia" w:hAnsiTheme="majorHAnsi" w:cs="Calibri"/>
                <w:i/>
                <w:sz w:val="22"/>
                <w:szCs w:val="22"/>
              </w:rPr>
            </w:pPr>
            <m:oMathPara>
              <m:oMath>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1</m:t>
                    </m:r>
                  </m:sub>
                </m:sSub>
              </m:oMath>
            </m:oMathPara>
          </w:p>
        </w:tc>
        <w:tc>
          <w:tcPr>
            <w:tcW w:w="3230" w:type="dxa"/>
          </w:tcPr>
          <w:p w14:paraId="7AE28CC0" w14:textId="77777777" w:rsidR="00F52E4D" w:rsidRPr="007E17BB" w:rsidRDefault="001A66DC" w:rsidP="00F52E4D">
            <w:pPr>
              <w:pStyle w:val="BodyText"/>
              <w:rPr>
                <w:sz w:val="22"/>
                <w:szCs w:val="22"/>
              </w:rPr>
            </w:pPr>
            <w:r w:rsidRPr="007E17BB">
              <w:rPr>
                <w:sz w:val="22"/>
                <w:szCs w:val="22"/>
              </w:rPr>
              <w:t>Reaction of CB policy rule to inflation gap</w:t>
            </w:r>
          </w:p>
        </w:tc>
        <w:tc>
          <w:tcPr>
            <w:tcW w:w="983" w:type="dxa"/>
          </w:tcPr>
          <w:p w14:paraId="603EA6D2" w14:textId="77777777" w:rsidR="00F52E4D" w:rsidRPr="007E17BB" w:rsidRDefault="001A66DC" w:rsidP="00F52E4D">
            <w:pPr>
              <w:pStyle w:val="BodyText"/>
              <w:jc w:val="center"/>
              <w:rPr>
                <w:sz w:val="22"/>
                <w:szCs w:val="22"/>
              </w:rPr>
            </w:pPr>
            <w:r w:rsidRPr="007E17BB">
              <w:rPr>
                <w:sz w:val="22"/>
                <w:szCs w:val="22"/>
              </w:rPr>
              <w:t>2</w:t>
            </w:r>
          </w:p>
        </w:tc>
        <w:tc>
          <w:tcPr>
            <w:tcW w:w="2835" w:type="dxa"/>
          </w:tcPr>
          <w:p w14:paraId="5E92B6E8" w14:textId="79EA9D4E" w:rsidR="00F52E4D" w:rsidRPr="007E17BB" w:rsidRDefault="001A66DC" w:rsidP="00EC7FDA">
            <w:pPr>
              <w:pStyle w:val="BodyText"/>
              <w:rPr>
                <w:sz w:val="22"/>
                <w:szCs w:val="22"/>
              </w:rPr>
            </w:pPr>
            <w:r w:rsidRPr="007E17BB">
              <w:rPr>
                <w:sz w:val="22"/>
                <w:szCs w:val="22"/>
              </w:rPr>
              <w:t xml:space="preserve">IL&amp;R and </w:t>
            </w:r>
            <w:bookmarkStart w:id="27" w:name="OLE_LINK13"/>
            <w:r w:rsidRPr="007E17BB">
              <w:rPr>
                <w:sz w:val="22"/>
                <w:szCs w:val="22"/>
              </w:rPr>
              <w:fldChar w:fldCharType="begin"/>
            </w:r>
            <w:r w:rsidR="00EC7FDA">
              <w:rPr>
                <w:sz w:val="22"/>
                <w:szCs w:val="22"/>
              </w:rPr>
              <w:instrText xml:space="preserve"> ADDIN ZOTERO_ITEM CSL_CITATION {"citationID":"2HNO76KL","properties":{"formattedCitation":"Argov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Pr="007E17BB">
              <w:rPr>
                <w:sz w:val="22"/>
                <w:szCs w:val="22"/>
              </w:rPr>
              <w:fldChar w:fldCharType="separate"/>
            </w:r>
            <w:r w:rsidR="00EC7FDA" w:rsidRPr="00EC7FDA">
              <w:rPr>
                <w:rFonts w:ascii="Utopia" w:hAnsi="Utopia"/>
                <w:sz w:val="22"/>
              </w:rPr>
              <w:t>Argov et al. (2012)</w:t>
            </w:r>
            <w:r w:rsidRPr="007E17BB">
              <w:rPr>
                <w:sz w:val="22"/>
                <w:szCs w:val="22"/>
              </w:rPr>
              <w:fldChar w:fldCharType="end"/>
            </w:r>
            <w:bookmarkEnd w:id="27"/>
          </w:p>
        </w:tc>
      </w:tr>
      <w:tr w:rsidR="00285375" w14:paraId="3008AA6D" w14:textId="77777777" w:rsidTr="0074762E">
        <w:tc>
          <w:tcPr>
            <w:tcW w:w="1311" w:type="dxa"/>
          </w:tcPr>
          <w:p w14:paraId="6869628B" w14:textId="77777777" w:rsidR="00F52E4D" w:rsidRPr="007E17BB" w:rsidRDefault="00000000" w:rsidP="00F52E4D">
            <w:pPr>
              <w:pStyle w:val="BodyText"/>
              <w:jc w:val="center"/>
              <w:rPr>
                <w:rFonts w:asciiTheme="majorHAnsi" w:eastAsia="Utopia" w:hAnsiTheme="majorHAnsi" w:cs="Calibri"/>
                <w:i/>
                <w:sz w:val="22"/>
                <w:szCs w:val="22"/>
              </w:rPr>
            </w:pPr>
            <m:oMathPara>
              <m:oMath>
                <m:sSub>
                  <m:sSubPr>
                    <m:ctrlPr>
                      <w:rPr>
                        <w:rFonts w:ascii="Cambria Math" w:hAnsi="Cambria Math"/>
                        <w:i/>
                        <w:sz w:val="22"/>
                        <w:szCs w:val="22"/>
                      </w:rPr>
                    </m:ctrlPr>
                  </m:sSubPr>
                  <m:e>
                    <m:r>
                      <w:rPr>
                        <w:rFonts w:ascii="Cambria Math" w:hAnsi="Cambria Math"/>
                        <w:sz w:val="22"/>
                        <w:szCs w:val="22"/>
                      </w:rPr>
                      <m:t>θ</m:t>
                    </m:r>
                  </m:e>
                  <m:sub>
                    <m:r>
                      <w:rPr>
                        <w:rFonts w:ascii="Cambria Math" w:hAnsi="Cambria Math"/>
                        <w:sz w:val="22"/>
                        <w:szCs w:val="22"/>
                      </w:rPr>
                      <m:t>2</m:t>
                    </m:r>
                  </m:sub>
                </m:sSub>
              </m:oMath>
            </m:oMathPara>
          </w:p>
        </w:tc>
        <w:tc>
          <w:tcPr>
            <w:tcW w:w="3230" w:type="dxa"/>
          </w:tcPr>
          <w:p w14:paraId="2DF661E3" w14:textId="77777777" w:rsidR="00F52E4D" w:rsidRPr="007E17BB" w:rsidRDefault="001A66DC" w:rsidP="00F52E4D">
            <w:pPr>
              <w:pStyle w:val="BodyText"/>
              <w:rPr>
                <w:sz w:val="22"/>
                <w:szCs w:val="22"/>
              </w:rPr>
            </w:pPr>
            <w:r w:rsidRPr="007E17BB">
              <w:rPr>
                <w:sz w:val="22"/>
                <w:szCs w:val="22"/>
              </w:rPr>
              <w:t>Reaction if CB policy rule to output growth</w:t>
            </w:r>
          </w:p>
        </w:tc>
        <w:tc>
          <w:tcPr>
            <w:tcW w:w="983" w:type="dxa"/>
          </w:tcPr>
          <w:p w14:paraId="601610D0" w14:textId="77777777" w:rsidR="00F52E4D" w:rsidRPr="007E17BB" w:rsidRDefault="001A66DC" w:rsidP="00F52E4D">
            <w:pPr>
              <w:pStyle w:val="BodyText"/>
              <w:jc w:val="center"/>
              <w:rPr>
                <w:sz w:val="22"/>
                <w:szCs w:val="22"/>
              </w:rPr>
            </w:pPr>
            <w:r w:rsidRPr="007E17BB">
              <w:rPr>
                <w:sz w:val="22"/>
                <w:szCs w:val="22"/>
              </w:rPr>
              <w:t>0.02</w:t>
            </w:r>
          </w:p>
        </w:tc>
        <w:tc>
          <w:tcPr>
            <w:tcW w:w="2835" w:type="dxa"/>
          </w:tcPr>
          <w:p w14:paraId="498FE31D" w14:textId="0843F4F2" w:rsidR="00F52E4D" w:rsidRPr="007E17BB" w:rsidRDefault="001A66DC" w:rsidP="00EC7FDA">
            <w:pPr>
              <w:pStyle w:val="BodyText"/>
              <w:rPr>
                <w:sz w:val="22"/>
                <w:szCs w:val="22"/>
              </w:rPr>
            </w:pPr>
            <w:r w:rsidRPr="007E17BB">
              <w:rPr>
                <w:sz w:val="22"/>
                <w:szCs w:val="22"/>
              </w:rPr>
              <w:t xml:space="preserve">IL&amp;R and </w:t>
            </w:r>
            <w:r w:rsidRPr="007E17BB">
              <w:rPr>
                <w:sz w:val="22"/>
                <w:szCs w:val="22"/>
              </w:rPr>
              <w:fldChar w:fldCharType="begin"/>
            </w:r>
            <w:r w:rsidR="00EC7FDA">
              <w:rPr>
                <w:sz w:val="22"/>
                <w:szCs w:val="22"/>
              </w:rPr>
              <w:instrText xml:space="preserve"> ADDIN ZOTERO_ITEM CSL_CITATION {"citationID":"o9O8TvGs","properties":{"formattedCitation":"Argov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Pr="007E17BB">
              <w:rPr>
                <w:sz w:val="22"/>
                <w:szCs w:val="22"/>
              </w:rPr>
              <w:fldChar w:fldCharType="separate"/>
            </w:r>
            <w:r w:rsidR="00EC7FDA" w:rsidRPr="00EC7FDA">
              <w:rPr>
                <w:rFonts w:ascii="Utopia" w:hAnsi="Utopia"/>
                <w:sz w:val="22"/>
              </w:rPr>
              <w:t>Argov et al. (2012)</w:t>
            </w:r>
            <w:r w:rsidRPr="007E17BB">
              <w:rPr>
                <w:sz w:val="22"/>
                <w:szCs w:val="22"/>
              </w:rPr>
              <w:fldChar w:fldCharType="end"/>
            </w:r>
          </w:p>
        </w:tc>
      </w:tr>
      <w:tr w:rsidR="00285375" w14:paraId="269AEB92" w14:textId="77777777" w:rsidTr="0074762E">
        <w:tc>
          <w:tcPr>
            <w:tcW w:w="1311" w:type="dxa"/>
          </w:tcPr>
          <w:p w14:paraId="577ED7BC" w14:textId="77777777" w:rsidR="00F52E4D" w:rsidRPr="007E17BB" w:rsidRDefault="001A66DC" w:rsidP="00F52E4D">
            <w:pPr>
              <w:pStyle w:val="BodyText"/>
              <w:jc w:val="center"/>
              <w:rPr>
                <w:rFonts w:asciiTheme="majorHAnsi" w:eastAsia="Utopia" w:hAnsiTheme="majorHAnsi" w:cs="Calibri"/>
                <w:i/>
                <w:sz w:val="22"/>
                <w:szCs w:val="22"/>
              </w:rPr>
            </w:pPr>
            <m:oMathPara>
              <m:oMath>
                <m:r>
                  <w:rPr>
                    <w:rFonts w:ascii="Cambria Math" w:hAnsi="Cambria Math"/>
                    <w:sz w:val="22"/>
                    <w:szCs w:val="22"/>
                  </w:rPr>
                  <m:t>ρ</m:t>
                </m:r>
              </m:oMath>
            </m:oMathPara>
          </w:p>
        </w:tc>
        <w:tc>
          <w:tcPr>
            <w:tcW w:w="3230" w:type="dxa"/>
          </w:tcPr>
          <w:p w14:paraId="382733B8" w14:textId="77777777" w:rsidR="00F52E4D" w:rsidRPr="007E17BB" w:rsidRDefault="001A66DC" w:rsidP="00F52E4D">
            <w:pPr>
              <w:pStyle w:val="BodyText"/>
              <w:rPr>
                <w:sz w:val="22"/>
                <w:szCs w:val="22"/>
              </w:rPr>
            </w:pPr>
            <w:r w:rsidRPr="007E17BB">
              <w:rPr>
                <w:sz w:val="22"/>
                <w:szCs w:val="22"/>
              </w:rPr>
              <w:t>Degree of smoothing in the CB interest rate rule</w:t>
            </w:r>
          </w:p>
        </w:tc>
        <w:tc>
          <w:tcPr>
            <w:tcW w:w="983" w:type="dxa"/>
          </w:tcPr>
          <w:p w14:paraId="52F7ED50" w14:textId="77777777" w:rsidR="00F52E4D" w:rsidRPr="007E17BB" w:rsidRDefault="001A66DC" w:rsidP="00F52E4D">
            <w:pPr>
              <w:pStyle w:val="BodyText"/>
              <w:jc w:val="center"/>
              <w:rPr>
                <w:sz w:val="22"/>
                <w:szCs w:val="22"/>
              </w:rPr>
            </w:pPr>
            <w:r w:rsidRPr="007E17BB">
              <w:rPr>
                <w:sz w:val="22"/>
                <w:szCs w:val="22"/>
              </w:rPr>
              <w:t>0.75</w:t>
            </w:r>
          </w:p>
        </w:tc>
        <w:tc>
          <w:tcPr>
            <w:tcW w:w="2835" w:type="dxa"/>
          </w:tcPr>
          <w:p w14:paraId="0C57FD3E" w14:textId="112A5E4D" w:rsidR="00F52E4D" w:rsidRPr="007E17BB" w:rsidRDefault="001A66DC" w:rsidP="00EC7FDA">
            <w:pPr>
              <w:pStyle w:val="BodyText"/>
              <w:rPr>
                <w:sz w:val="22"/>
                <w:szCs w:val="22"/>
              </w:rPr>
            </w:pPr>
            <w:r w:rsidRPr="007E17BB">
              <w:rPr>
                <w:sz w:val="22"/>
                <w:szCs w:val="22"/>
              </w:rPr>
              <w:t xml:space="preserve">IL&amp;R and </w:t>
            </w:r>
            <w:r w:rsidRPr="007E17BB">
              <w:rPr>
                <w:sz w:val="22"/>
                <w:szCs w:val="22"/>
              </w:rPr>
              <w:fldChar w:fldCharType="begin"/>
            </w:r>
            <w:r w:rsidR="00EC7FDA">
              <w:rPr>
                <w:sz w:val="22"/>
                <w:szCs w:val="22"/>
              </w:rPr>
              <w:instrText xml:space="preserve"> ADDIN ZOTERO_ITEM CSL_CITATION {"citationID":"Rl50Cpj9","properties":{"formattedCitation":"Argov et al. (2012)","plainCitation":"Argov et al. (2012)","noteIndex":0},"citationItems":[{"id":1622,"uris":["http://zotero.org/users/6680486/items/IZ3LBMX3"],"itemData":{"id":1622,"type":"article","abstract":"This paper presents a medium-scale micro-founded model with real and nominal imperfections, named \"MOISE\" (MOdel for the ISraeli Economy). The model was developed at the Bank of Israel to support monetary policy formulation, and builds on similar models in wide use among central banks. It includes extensions and modi…cations that re‡ect the special characteristics of the Israeli economy and are intended to improve the model’s …t to Israeli data. The model was estimated using the increasingly popular Bayesian approach, using Israeli data for 1992:Q1 to 2009:Q4. The model’s …t was tested using two criteria: the moments’…t and in-sample forecast performance. Finally, the paper presents and analyzes the model’s properties using impulse response functions and variance decomposition.","citation-key":"argov2012moise","collection-number":"2012.06","collection-title":"Discussion Paper Series","DOI":"10.2139/ssrn.2168191","language":"en","publisher-place":"Bank of Israel Research Department","title":"MOISE: A DSGE Model for the Israeli Economy","title-short":"MOISE","URL":"http://www.ssrn.com/abstract=2168191","author":[{"family":"Argov","given":"Eyal"},{"family":"Barnea","given":"Emanuel"},{"family":"Binyamini","given":"Alon"},{"family":"Borenstein","given":"Eliezer"},{"family":"Elkayam","given":"David"},{"family":"Rozenshtrom","given":"Irit"}],"accessed":{"date-parts":[["2020",9,28]]},"issued":{"date-parts":[["2012"]]}}}],"schema":"https://github.com/citation-style-language/schema/raw/master/csl-citation.json"} </w:instrText>
            </w:r>
            <w:r w:rsidRPr="007E17BB">
              <w:rPr>
                <w:sz w:val="22"/>
                <w:szCs w:val="22"/>
              </w:rPr>
              <w:fldChar w:fldCharType="separate"/>
            </w:r>
            <w:r w:rsidR="00EC7FDA" w:rsidRPr="00EC7FDA">
              <w:rPr>
                <w:rFonts w:ascii="Utopia" w:hAnsi="Utopia"/>
                <w:sz w:val="22"/>
              </w:rPr>
              <w:t>Argov et al. (2012)</w:t>
            </w:r>
            <w:r w:rsidRPr="007E17BB">
              <w:rPr>
                <w:sz w:val="22"/>
                <w:szCs w:val="22"/>
              </w:rPr>
              <w:fldChar w:fldCharType="end"/>
            </w:r>
          </w:p>
        </w:tc>
      </w:tr>
      <w:tr w:rsidR="00285375" w14:paraId="1EC5C14D" w14:textId="77777777" w:rsidTr="0074762E">
        <w:tc>
          <w:tcPr>
            <w:tcW w:w="1311" w:type="dxa"/>
          </w:tcPr>
          <w:p w14:paraId="204C14C9" w14:textId="77777777" w:rsidR="00F52E4D" w:rsidRPr="007E17BB" w:rsidRDefault="001A66DC" w:rsidP="00F52E4D">
            <w:pPr>
              <w:pStyle w:val="BodyText"/>
              <w:jc w:val="center"/>
              <w:rPr>
                <w:rFonts w:asciiTheme="majorHAnsi" w:eastAsia="Utopia" w:hAnsiTheme="majorHAnsi" w:cs="Calibri"/>
                <w:i/>
                <w:sz w:val="22"/>
                <w:szCs w:val="22"/>
              </w:rPr>
            </w:pPr>
            <m:oMathPara>
              <m:oMath>
                <m:r>
                  <w:rPr>
                    <w:rFonts w:ascii="Cambria Math" w:hAnsi="Cambria Math"/>
                    <w:sz w:val="22"/>
                    <w:szCs w:val="22"/>
                  </w:rPr>
                  <m:t>δ</m:t>
                </m:r>
              </m:oMath>
            </m:oMathPara>
          </w:p>
        </w:tc>
        <w:tc>
          <w:tcPr>
            <w:tcW w:w="3230" w:type="dxa"/>
          </w:tcPr>
          <w:p w14:paraId="21C62735" w14:textId="77777777" w:rsidR="00F52E4D" w:rsidRPr="007E17BB" w:rsidRDefault="001A66DC" w:rsidP="00F52E4D">
            <w:pPr>
              <w:pStyle w:val="BodyText"/>
              <w:rPr>
                <w:sz w:val="22"/>
                <w:szCs w:val="22"/>
              </w:rPr>
            </w:pPr>
            <w:r w:rsidRPr="007E17BB">
              <w:rPr>
                <w:sz w:val="22"/>
                <w:szCs w:val="22"/>
              </w:rPr>
              <w:t>Weight of rent in the CPI</w:t>
            </w:r>
          </w:p>
        </w:tc>
        <w:tc>
          <w:tcPr>
            <w:tcW w:w="983" w:type="dxa"/>
          </w:tcPr>
          <w:p w14:paraId="49DADAF8" w14:textId="77777777" w:rsidR="00F52E4D" w:rsidRPr="007E17BB" w:rsidRDefault="001A66DC" w:rsidP="00F52E4D">
            <w:pPr>
              <w:pStyle w:val="BodyText"/>
              <w:jc w:val="center"/>
              <w:rPr>
                <w:sz w:val="22"/>
                <w:szCs w:val="22"/>
              </w:rPr>
            </w:pPr>
            <w:r w:rsidRPr="007E17BB">
              <w:rPr>
                <w:sz w:val="22"/>
                <w:szCs w:val="22"/>
              </w:rPr>
              <w:t>25%</w:t>
            </w:r>
          </w:p>
        </w:tc>
        <w:tc>
          <w:tcPr>
            <w:tcW w:w="2835" w:type="dxa"/>
          </w:tcPr>
          <w:p w14:paraId="6C0F3734" w14:textId="77777777" w:rsidR="00F52E4D" w:rsidRPr="007E17BB" w:rsidRDefault="001A66DC" w:rsidP="00F52E4D">
            <w:pPr>
              <w:pStyle w:val="BodyText"/>
              <w:rPr>
                <w:sz w:val="22"/>
                <w:szCs w:val="22"/>
              </w:rPr>
            </w:pPr>
            <w:r w:rsidRPr="007E17BB">
              <w:rPr>
                <w:sz w:val="22"/>
                <w:szCs w:val="22"/>
              </w:rPr>
              <w:t>Data</w:t>
            </w:r>
          </w:p>
        </w:tc>
      </w:tr>
      <w:tr w:rsidR="00285375" w14:paraId="414E1695" w14:textId="77777777" w:rsidTr="0074762E">
        <w:tc>
          <w:tcPr>
            <w:tcW w:w="1311" w:type="dxa"/>
          </w:tcPr>
          <w:p w14:paraId="239560BF" w14:textId="77777777" w:rsidR="00F52E4D" w:rsidRPr="007E17BB" w:rsidRDefault="001A66DC" w:rsidP="00F52E4D">
            <w:pPr>
              <w:pStyle w:val="BodyText"/>
              <w:jc w:val="center"/>
              <w:rPr>
                <w:rFonts w:ascii="Utopia" w:eastAsia="Utopia" w:hAnsi="Utopia" w:cs="Calibri"/>
                <w:i/>
                <w:sz w:val="22"/>
                <w:szCs w:val="22"/>
              </w:rPr>
            </w:pPr>
            <m:oMathPara>
              <m:oMath>
                <m:r>
                  <w:rPr>
                    <w:rFonts w:ascii="Cambria Math" w:hAnsi="Cambria Math"/>
                    <w:sz w:val="22"/>
                    <w:szCs w:val="22"/>
                  </w:rPr>
                  <m:t>π</m:t>
                </m:r>
              </m:oMath>
            </m:oMathPara>
          </w:p>
        </w:tc>
        <w:tc>
          <w:tcPr>
            <w:tcW w:w="3230" w:type="dxa"/>
          </w:tcPr>
          <w:p w14:paraId="34AD3496" w14:textId="77777777" w:rsidR="00F52E4D" w:rsidRPr="007E17BB" w:rsidRDefault="001A66DC" w:rsidP="00F52E4D">
            <w:pPr>
              <w:pStyle w:val="BodyText"/>
              <w:rPr>
                <w:sz w:val="22"/>
                <w:szCs w:val="22"/>
              </w:rPr>
            </w:pPr>
            <w:r w:rsidRPr="007E17BB">
              <w:rPr>
                <w:sz w:val="22"/>
                <w:szCs w:val="22"/>
              </w:rPr>
              <w:t>Inflation target</w:t>
            </w:r>
          </w:p>
        </w:tc>
        <w:tc>
          <w:tcPr>
            <w:tcW w:w="983" w:type="dxa"/>
          </w:tcPr>
          <w:p w14:paraId="73C736FB" w14:textId="77777777" w:rsidR="00F52E4D" w:rsidRPr="007E17BB" w:rsidRDefault="001A66DC" w:rsidP="00F52E4D">
            <w:pPr>
              <w:pStyle w:val="BodyText"/>
              <w:jc w:val="center"/>
              <w:rPr>
                <w:sz w:val="22"/>
                <w:szCs w:val="22"/>
              </w:rPr>
            </w:pPr>
            <w:r w:rsidRPr="007E17BB">
              <w:rPr>
                <w:sz w:val="22"/>
                <w:szCs w:val="22"/>
              </w:rPr>
              <w:t>2%</w:t>
            </w:r>
          </w:p>
        </w:tc>
        <w:tc>
          <w:tcPr>
            <w:tcW w:w="2835" w:type="dxa"/>
          </w:tcPr>
          <w:p w14:paraId="3C9528E1" w14:textId="77777777" w:rsidR="00F52E4D" w:rsidRPr="007E17BB" w:rsidRDefault="001A66DC" w:rsidP="00F52E4D">
            <w:pPr>
              <w:pStyle w:val="BodyText"/>
              <w:rPr>
                <w:sz w:val="22"/>
                <w:szCs w:val="22"/>
              </w:rPr>
            </w:pPr>
            <w:r w:rsidRPr="007E17BB">
              <w:rPr>
                <w:sz w:val="22"/>
                <w:szCs w:val="22"/>
              </w:rPr>
              <w:t>Official BOI target</w:t>
            </w:r>
          </w:p>
        </w:tc>
      </w:tr>
    </w:tbl>
    <w:p w14:paraId="6BC5199C" w14:textId="77777777" w:rsidR="004B01A8" w:rsidRPr="00F73527" w:rsidRDefault="001A66DC" w:rsidP="00426E3A">
      <w:pPr>
        <w:pStyle w:val="Heading1"/>
      </w:pPr>
      <w:r>
        <w:t xml:space="preserve">Policy </w:t>
      </w:r>
      <w:r w:rsidRPr="003A3B54">
        <w:t>Analysis</w:t>
      </w:r>
    </w:p>
    <w:p w14:paraId="03745A74" w14:textId="77777777" w:rsidR="00567FC6" w:rsidRDefault="001A66DC" w:rsidP="00EA1BBD">
      <w:pPr>
        <w:bidi w:val="0"/>
        <w:spacing w:before="100" w:beforeAutospacing="1" w:after="100" w:afterAutospacing="1"/>
        <w:jc w:val="both"/>
        <w:rPr>
          <w:sz w:val="24"/>
          <w:szCs w:val="24"/>
          <w:lang w:bidi="ar-SA"/>
        </w:rPr>
      </w:pPr>
      <w:r w:rsidRPr="008E2B36">
        <w:rPr>
          <w:sz w:val="24"/>
          <w:szCs w:val="24"/>
          <w:lang w:bidi="ar-SA"/>
        </w:rPr>
        <w:t xml:space="preserve">In this section, we analyze the impact of </w:t>
      </w:r>
      <w:r w:rsidR="00E90BBD">
        <w:rPr>
          <w:sz w:val="24"/>
          <w:szCs w:val="24"/>
          <w:lang w:bidi="ar-SA"/>
        </w:rPr>
        <w:t xml:space="preserve">monetary and </w:t>
      </w:r>
      <w:r w:rsidRPr="008E2B36">
        <w:rPr>
          <w:sz w:val="24"/>
          <w:szCs w:val="24"/>
          <w:lang w:bidi="ar-SA"/>
        </w:rPr>
        <w:t>macroprudential polic</w:t>
      </w:r>
      <w:r w:rsidR="00E90BBD">
        <w:rPr>
          <w:sz w:val="24"/>
          <w:szCs w:val="24"/>
          <w:lang w:bidi="ar-SA"/>
        </w:rPr>
        <w:t>ies</w:t>
      </w:r>
      <w:r w:rsidRPr="008E2B36">
        <w:rPr>
          <w:sz w:val="24"/>
          <w:szCs w:val="24"/>
          <w:lang w:bidi="ar-SA"/>
        </w:rPr>
        <w:t xml:space="preserve"> on the housing market. </w:t>
      </w:r>
    </w:p>
    <w:p w14:paraId="21BED375" w14:textId="0F5F9CC2" w:rsidR="00941A9F" w:rsidRDefault="001A66DC" w:rsidP="00EC7FDA">
      <w:pPr>
        <w:pStyle w:val="BodyText"/>
        <w:rPr>
          <w:rFonts w:ascii="Utopia" w:hAnsi="Utopia"/>
          <w:szCs w:val="22"/>
          <w:lang w:bidi="he-IL"/>
        </w:rPr>
      </w:pPr>
      <w:r>
        <w:t>I</w:t>
      </w:r>
      <w:r w:rsidRPr="008D7FF2">
        <w:t>n the following policy analysis, we assume the LTV constraint is always binding under both monetary and macroprudential tightening policies. First, we calibrate the model to provide a strong incentive for impatient agents to borrow. Specifically, their discount factor ensures that impatient households are close to the borrowing limit, allowing for accurate linearization around a steady state with a binding borrowing limit (</w:t>
      </w:r>
      <w:r w:rsidRPr="00D67AC6">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{"citationID":"RalgxyeK","properties":{"formattedCitation":"Iacoviello (2005); Iacoviello and Neri (2010); Sun and Tsang (2017)","plainCitation":"Iacoviello (2005); Iacoviello and Neri (2010); Sun and Tsang (2017)","noteIndex":0},"citationItems":[{"id":2486,"uris":["http://zotero.org/users/6680486/items/DX6MWSIG"],"itemData":{"id":2486,"type":"article-journal","abstract":"I develop and estimate a monetary business cycle model with nominal loans and collateral constraints tied to housing values. Demand shocks move housing and nominal prices in the same direction, and are amplified and propagated over time. The financial accelerator is not uniform: nominal debt dampens supply shocks, stabilizing the economy under interest rate control. Structural estimation supports two key model features: collateral effects dramatically improve the response of aggregate demand to housing price shocks; and nominal debt improves the sluggish response of output to inflation surprises. Finally, policy evaluation considers the role of house prices and debt indexation in affecting monetary policy trade-offs.","citation-key":"Iacoviello_2005","container-title":"American Economic Review","DOI":"10.1257/0002828054201477","ISSN":"0002-8282","issue":"3","journalAbbreviation":"American Economic Review","language":"en","page":"739-764","source":"DOI.org (Crossref)","title":"House Prices, Borrowing Constraints, and Monetary Policy in the Business Cycle","volume":"95","author":[{"family":"Iacoviello","given":"Matteo"}],"issued":{"date-parts":[["2005",5,1]]}}},{"id":1889,"uris":["http://zotero.org/users/6680486/items/6ES4R79E"],"itemData":{"id":1889,"type":"article-journal","abstract":"We study sources and consequences of fluctuations in the US housing market. Slow technological progress in the housing sector explains the upward trend in real housing prices of the last 40 years. Over the business cycle, housing demand and housing technology shocks explain one-quarter each of the volatility of housing investment and housing prices. Monetary factors explain less than 20 percent, but have played a bigger role in the housing cycle at the turn of the century. We show that the housing market spillovers are nonnegligible, concentrated on consumption rather than business investment, and have become more important over time. (JEL E23, E32, E44, O33, R31)","citation-key":"iacovielloHousingMarketSpillovers2010","container-title":"American Economic Journal: Macroeconomics","DOI":"10.1257/mac.2.2.125","ISSN":"1945-7707, 1945-7715","issue":"2","journalAbbreviation":"American Economic Journal: Macroeconomics","language":"en","page":"125-164","source":"DOI.org (Crossref)","title":"Housing Market Spillovers: Evidence from an Estimated DSGE Model","title-short":"Housing Market Spillovers","volume":"2","author":[{"family":"Iacoviello","given":"Matteo"},{"family":"Neri","given":"Stefano"}],"issued":{"date-parts":[["2010",4,1]]}}},{"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Pr="00D67AC6">
        <w:rPr>
          <w:rFonts w:asciiTheme="majorHAnsi" w:hAnsiTheme="majorHAnsi" w:cs="David"/>
          <w:color w:val="0081AD"/>
          <w:lang w:bidi="he-IL"/>
        </w:rPr>
        <w:fldChar w:fldCharType="separate"/>
      </w:r>
      <w:r w:rsidR="00EC7FDA" w:rsidRPr="009E6A93">
        <w:rPr>
          <w:rFonts w:asciiTheme="majorHAnsi" w:hAnsiTheme="majorHAnsi" w:cs="David"/>
          <w:color w:val="0081AD"/>
          <w:lang w:bidi="he-IL"/>
        </w:rPr>
        <w:t>Iacoviello (2005)</w:t>
      </w:r>
      <w:r w:rsidR="00EC7FDA" w:rsidRPr="00A80EFB">
        <w:t>;</w:t>
      </w:r>
      <w:r w:rsidR="00EC7FDA" w:rsidRPr="009E6A93">
        <w:rPr>
          <w:rFonts w:asciiTheme="majorHAnsi" w:hAnsiTheme="majorHAnsi" w:cs="David"/>
          <w:color w:val="0081AD"/>
          <w:lang w:bidi="he-IL"/>
        </w:rPr>
        <w:t xml:space="preserve"> Iacoviello and Neri (2010)</w:t>
      </w:r>
      <w:r w:rsidR="00EC7FDA" w:rsidRPr="007104A7">
        <w:t xml:space="preserve">; </w:t>
      </w:r>
      <w:r w:rsidR="00EC7FDA" w:rsidRPr="009E6A93">
        <w:rPr>
          <w:rFonts w:asciiTheme="majorHAnsi" w:hAnsiTheme="majorHAnsi" w:cs="David"/>
          <w:color w:val="0081AD"/>
          <w:lang w:bidi="he-IL"/>
        </w:rPr>
        <w:t>Sun and Tsang (2017)</w:t>
      </w:r>
      <w:r w:rsidRPr="00D67AC6">
        <w:rPr>
          <w:rFonts w:asciiTheme="majorHAnsi" w:hAnsiTheme="majorHAnsi" w:cs="David"/>
          <w:color w:val="0081AD"/>
          <w:lang w:bidi="he-IL"/>
        </w:rPr>
        <w:fldChar w:fldCharType="end"/>
      </w:r>
      <w:r w:rsidRPr="00F31BBF">
        <w:t>)</w:t>
      </w:r>
      <w:r w:rsidRPr="008D7FF2">
        <w:t xml:space="preserve">. Second, the LTV constraint is already binding in the steady state, even before these policies are implemented, and the shocks we analyze will further tighten the constraint. Our calibration of the LTV ratio in the steady state is 66% and it is derived from the Israeli data, </w:t>
      </w:r>
      <w:r w:rsidRPr="00165DAD">
        <w:t xml:space="preserve">ensuring that it is binding (see Section 5 and </w:t>
      </w:r>
      <w:r w:rsidRPr="00E96A6A">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{"citationID":"iW3m1JYM","properties":{"formattedCitation":"Cohen and Ilek (2024)","plainCitation":"Cohen and Ilek (2024)","noteIndex":0},"citationItems":[{"id":1561,"uris":["http://zotero.org/users/6680486/items/MXHTM5XU"],"itemData":{"id":1561,"type":"manuscript","citation-key":"cohenEstimateShareFinancially2024","genre":"Unpublished Memo","language":"hebrew","note":"</w:instrText>
      </w:r>
      <w:r w:rsidR="00EC7FDA">
        <w:rPr>
          <w:rFonts w:asciiTheme="majorHAnsi" w:hAnsiTheme="majorHAnsi" w:cs="David" w:hint="cs"/>
          <w:color w:val="0081AD"/>
          <w:rtl/>
          <w:lang w:bidi="he-IL"/>
        </w:rPr>
        <w:instrText>משקי</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בית</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מוגבלים</w:instrText>
      </w:r>
      <w:r w:rsidR="00EC7FDA">
        <w:rPr>
          <w:rFonts w:asciiTheme="majorHAnsi" w:hAnsiTheme="majorHAnsi" w:cs="David"/>
          <w:color w:val="0081AD"/>
          <w:rtl/>
          <w:lang w:bidi="he-IL"/>
        </w:rPr>
        <w:instrText xml:space="preserve"> 13_03_2024</w:instrText>
      </w:r>
      <w:r w:rsidR="00EC7FDA">
        <w:rPr>
          <w:rFonts w:asciiTheme="majorHAnsi" w:hAnsiTheme="majorHAnsi" w:cs="David"/>
          <w:color w:val="0081AD"/>
          <w:lang w:bidi="he-IL"/>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Pr="00E96A6A">
        <w:rPr>
          <w:rFonts w:asciiTheme="majorHAnsi" w:hAnsiTheme="majorHAnsi" w:cs="David"/>
          <w:color w:val="0081AD"/>
          <w:lang w:bidi="he-IL"/>
        </w:rPr>
        <w:fldChar w:fldCharType="separate"/>
      </w:r>
      <w:r w:rsidR="00EC7FDA" w:rsidRPr="000112AF">
        <w:rPr>
          <w:rFonts w:asciiTheme="majorHAnsi" w:hAnsiTheme="majorHAnsi" w:cs="David"/>
          <w:color w:val="0081AD"/>
          <w:lang w:bidi="he-IL"/>
        </w:rPr>
        <w:t>Cohen and Ilek (2024)</w:t>
      </w:r>
      <w:r w:rsidRPr="00E96A6A">
        <w:rPr>
          <w:rFonts w:asciiTheme="majorHAnsi" w:hAnsiTheme="majorHAnsi" w:cs="David"/>
          <w:color w:val="0081AD"/>
          <w:lang w:bidi="he-IL"/>
        </w:rPr>
        <w:fldChar w:fldCharType="end"/>
      </w:r>
      <w:r w:rsidRPr="003C31AE">
        <w:rPr>
          <w:rStyle w:val="FootnoteReference"/>
        </w:rPr>
        <w:footnoteReference w:id="11"/>
      </w:r>
      <w:r w:rsidRPr="00165DAD">
        <w:t>.</w:t>
      </w:r>
      <w:r w:rsidR="00444180">
        <w:t xml:space="preserve"> </w:t>
      </w:r>
      <w:r w:rsidRPr="00EA7A71">
        <w:t>We calibrate the share of borrowers to be 31.2% of the population, representing</w:t>
      </w:r>
      <w:r w:rsidRPr="00165DAD">
        <w:rPr>
          <w:rFonts w:ascii="Utopia" w:hAnsi="Utopia"/>
          <w:szCs w:val="22"/>
          <w:lang w:bidi="he-IL"/>
        </w:rPr>
        <w:t xml:space="preserve"> households for whom the borrowing constraint is binding or nearly binding, as detailed in Section 5 and </w:t>
      </w:r>
      <w:r w:rsidRPr="00ED5040">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{"citationID":"tvrI1CWs","properties":{"formattedCitation":"Cohen and Ilek (2024)","plainCitation":"Cohen and Ilek (2024)","noteIndex":0},"citationItems":[{"id":1561,"uris":["http://zotero.org/users/6680486/items/MXHTM5XU"],"itemData":{"id":1561,"type":"manuscript","citation-key":"cohenEstimateShareFinancially2024","genre":"Unpublished Memo","language":"hebrew","note":"</w:instrText>
      </w:r>
      <w:r w:rsidR="00EC7FDA">
        <w:rPr>
          <w:rFonts w:asciiTheme="majorHAnsi" w:hAnsiTheme="majorHAnsi" w:cs="David" w:hint="cs"/>
          <w:color w:val="0081AD"/>
          <w:rtl/>
          <w:lang w:bidi="he-IL"/>
        </w:rPr>
        <w:instrText>משקי</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בית</w:instrText>
      </w:r>
      <w:r w:rsidR="00EC7FDA">
        <w:rPr>
          <w:rFonts w:asciiTheme="majorHAnsi" w:hAnsiTheme="majorHAnsi" w:cs="David"/>
          <w:color w:val="0081AD"/>
          <w:rtl/>
          <w:lang w:bidi="he-IL"/>
        </w:rPr>
        <w:instrText xml:space="preserve"> </w:instrText>
      </w:r>
      <w:r w:rsidR="00EC7FDA">
        <w:rPr>
          <w:rFonts w:asciiTheme="majorHAnsi" w:hAnsiTheme="majorHAnsi" w:cs="David" w:hint="cs"/>
          <w:color w:val="0081AD"/>
          <w:rtl/>
          <w:lang w:bidi="he-IL"/>
        </w:rPr>
        <w:instrText>מוגבלים</w:instrText>
      </w:r>
      <w:r w:rsidR="00EC7FDA">
        <w:rPr>
          <w:rFonts w:asciiTheme="majorHAnsi" w:hAnsiTheme="majorHAnsi" w:cs="David"/>
          <w:color w:val="0081AD"/>
          <w:rtl/>
          <w:lang w:bidi="he-IL"/>
        </w:rPr>
        <w:instrText xml:space="preserve"> 13_03_2024</w:instrText>
      </w:r>
      <w:r w:rsidR="00EC7FDA">
        <w:rPr>
          <w:rFonts w:asciiTheme="majorHAnsi" w:hAnsiTheme="majorHAnsi" w:cs="David"/>
          <w:color w:val="0081AD"/>
          <w:lang w:bidi="he-IL"/>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Pr="00ED5040">
        <w:rPr>
          <w:rFonts w:asciiTheme="majorHAnsi" w:hAnsiTheme="majorHAnsi" w:cs="David"/>
          <w:color w:val="0081AD"/>
          <w:lang w:bidi="he-IL"/>
        </w:rPr>
        <w:fldChar w:fldCharType="separate"/>
      </w:r>
      <w:r w:rsidR="00EC7FDA" w:rsidRPr="00EC7FDA">
        <w:rPr>
          <w:rFonts w:ascii="Utopia" w:hAnsi="Utopia"/>
        </w:rPr>
        <w:t>Cohen and Ilek (2024)</w:t>
      </w:r>
      <w:r w:rsidRPr="00ED5040">
        <w:rPr>
          <w:rFonts w:asciiTheme="majorHAnsi" w:hAnsiTheme="majorHAnsi" w:cs="David"/>
          <w:color w:val="0081AD"/>
          <w:lang w:bidi="he-IL"/>
        </w:rPr>
        <w:fldChar w:fldCharType="end"/>
      </w:r>
      <w:r w:rsidRPr="007B6087">
        <w:t>.</w:t>
      </w:r>
    </w:p>
    <w:p w14:paraId="30C2F5A3" w14:textId="1CD4B277" w:rsidR="00801217" w:rsidRDefault="007C563A" w:rsidP="00E6747A">
      <w:pPr>
        <w:bidi w:val="0"/>
        <w:spacing w:before="100" w:beforeAutospacing="1" w:after="100" w:afterAutospacing="1"/>
        <w:jc w:val="both"/>
        <w:rPr>
          <w:sz w:val="24"/>
          <w:szCs w:val="24"/>
          <w:lang w:bidi="ar-SA"/>
        </w:rPr>
      </w:pPr>
      <w:r w:rsidRPr="007C563A">
        <w:rPr>
          <w:sz w:val="24"/>
          <w:szCs w:val="24"/>
          <w:lang w:bidi="ar-SA"/>
        </w:rPr>
        <w:t>We conducted robustness tests on our results under different degrees of substitution between ownership and renting, as described in Appendix</w:t>
      </w:r>
      <w:r w:rsidR="000139D1" w:rsidRPr="007C563A">
        <w:rPr>
          <w:sz w:val="24"/>
          <w:szCs w:val="24"/>
          <w:lang w:bidi="ar-SA"/>
        </w:rPr>
        <w:t> </w:t>
      </w:r>
      <w:r w:rsidR="000139D1">
        <w:rPr>
          <w:sz w:val="24"/>
          <w:szCs w:val="24"/>
          <w:lang w:bidi="ar-SA"/>
        </w:rPr>
        <w:t xml:space="preserve"> (</w:t>
      </w:r>
      <w:r w:rsidRPr="007C563A">
        <w:rPr>
          <w:sz w:val="24"/>
          <w:szCs w:val="24"/>
          <w:lang w:bidi="ar-SA"/>
        </w:rPr>
        <w:t>Section 8</w:t>
      </w:r>
      <w:r w:rsidR="001F5BBA">
        <w:rPr>
          <w:sz w:val="24"/>
          <w:szCs w:val="24"/>
          <w:lang w:bidi="ar-SA"/>
        </w:rPr>
        <w:t>)</w:t>
      </w:r>
      <w:r w:rsidRPr="007C563A">
        <w:rPr>
          <w:sz w:val="24"/>
          <w:szCs w:val="24"/>
          <w:lang w:bidi="ar-SA"/>
        </w:rPr>
        <w:t>.</w:t>
      </w:r>
    </w:p>
    <w:p w14:paraId="425648A7" w14:textId="77777777" w:rsidR="0017467F" w:rsidRDefault="001A66DC" w:rsidP="00426E3A">
      <w:pPr>
        <w:pStyle w:val="Heading2"/>
      </w:pPr>
      <w:r>
        <w:lastRenderedPageBreak/>
        <w:t xml:space="preserve">Impact of </w:t>
      </w:r>
      <w:r w:rsidR="00021071">
        <w:t xml:space="preserve">monetary policy </w:t>
      </w:r>
      <w:r>
        <w:t>on</w:t>
      </w:r>
      <w:r w:rsidR="001429F3">
        <w:t xml:space="preserve"> the</w:t>
      </w:r>
      <w:r>
        <w:t xml:space="preserve"> </w:t>
      </w:r>
      <w:r w:rsidR="00021071">
        <w:t>housing market</w:t>
      </w:r>
    </w:p>
    <w:p w14:paraId="032E11BA" w14:textId="5D2DAE15" w:rsidR="00E24713" w:rsidRDefault="001A66DC" w:rsidP="00AF505A">
      <w:pPr>
        <w:pStyle w:val="BodyText"/>
      </w:pPr>
      <w:r w:rsidRPr="00815A64">
        <w:t>The responses to a monetary policy</w:t>
      </w:r>
      <w:r w:rsidR="004E60B9">
        <w:t xml:space="preserve"> (MP)</w:t>
      </w:r>
      <w:r w:rsidRPr="00815A64">
        <w:t xml:space="preserve"> shock, as depicted in Fig</w:t>
      </w:r>
      <w:r w:rsidR="000E0EF1">
        <w:t xml:space="preserve">. </w:t>
      </w:r>
      <w:r w:rsidR="00AF505A">
        <w:t>4</w:t>
      </w:r>
      <w:r w:rsidRPr="00815A64">
        <w:t xml:space="preserve"> (blue line</w:t>
      </w:r>
      <w:r w:rsidR="001429F3">
        <w:t>,</w:t>
      </w:r>
      <w:r w:rsidR="004F3F1C">
        <w:t xml:space="preserve"> represent</w:t>
      </w:r>
      <w:r w:rsidR="001429F3">
        <w:t>ing</w:t>
      </w:r>
      <w:r w:rsidR="004F3F1C">
        <w:t xml:space="preserve"> the baseline case</w:t>
      </w:r>
      <w:r w:rsidR="00A340E5">
        <w:t xml:space="preserve"> </w:t>
      </w:r>
      <w:r w:rsidR="00A340E5" w:rsidRPr="000E3A6C">
        <w:t xml:space="preserve">of </w:t>
      </w:r>
      <w:r w:rsidR="00A340E5" w:rsidRPr="000E3A6C">
        <w:rPr>
          <w:rFonts w:cs="David"/>
          <w:noProof/>
          <w:lang w:bidi="he-IL"/>
        </w:rPr>
        <w:t>fixed-rate mortgages</w:t>
      </w:r>
      <w:r w:rsidRPr="00815A64">
        <w:t>), are consistent with the conventional New-Keynesian model. Following a contractionary monetary policy shock</w:t>
      </w:r>
      <w:r w:rsidR="000679CA">
        <w:t xml:space="preserve"> of </w:t>
      </w:r>
      <w:r w:rsidR="0026785C">
        <w:t>1</w:t>
      </w:r>
      <w:r w:rsidR="000679CA">
        <w:t xml:space="preserve"> p</w:t>
      </w:r>
      <w:r w:rsidR="009E44C4">
        <w:t>.</w:t>
      </w:r>
      <w:r w:rsidR="000679CA">
        <w:t>p</w:t>
      </w:r>
      <w:r w:rsidR="009E44C4">
        <w:t>.</w:t>
      </w:r>
      <w:r w:rsidR="0026785C">
        <w:t xml:space="preserve"> (</w:t>
      </w:r>
      <w:r w:rsidR="0026785C" w:rsidRPr="00426E3A">
        <w:t xml:space="preserve">in </w:t>
      </w:r>
      <w:r w:rsidR="0026785C">
        <w:t>annualized</w:t>
      </w:r>
      <w:r w:rsidR="0026785C" w:rsidRPr="00426E3A">
        <w:t xml:space="preserve"> terms</w:t>
      </w:r>
      <w:r w:rsidR="0026785C">
        <w:t>)</w:t>
      </w:r>
      <w:r w:rsidR="002F13A0">
        <w:t xml:space="preserve"> </w:t>
      </w:r>
      <w:r w:rsidRPr="00815A64">
        <w:t xml:space="preserve">the real interest rate increases, resulting in a simultaneous decline in real activity and inflation. </w:t>
      </w:r>
    </w:p>
    <w:p w14:paraId="196AC4FE" w14:textId="77777777" w:rsidR="00CF6E97" w:rsidRDefault="001A66DC" w:rsidP="001429F3">
      <w:pPr>
        <w:pStyle w:val="BodyText"/>
      </w:pPr>
      <w:r w:rsidRPr="00815A64">
        <w:t>It is important to note that</w:t>
      </w:r>
      <w:r w:rsidR="009B3722">
        <w:t xml:space="preserve"> </w:t>
      </w:r>
      <w:r w:rsidR="009B3722" w:rsidRPr="00815A64">
        <w:t>the increase in the real interest rate</w:t>
      </w:r>
      <w:r w:rsidR="009B3722">
        <w:t xml:space="preserve"> </w:t>
      </w:r>
      <w:r w:rsidR="009B3722" w:rsidRPr="00815A64">
        <w:t>induces</w:t>
      </w:r>
      <w:r w:rsidR="009B3722">
        <w:t xml:space="preserve"> an intertemporal substitution effect (consistent with </w:t>
      </w:r>
      <w:r w:rsidR="009B3722" w:rsidRPr="00815A64">
        <w:t>the Euler equation</w:t>
      </w:r>
      <w:r w:rsidR="009B3722">
        <w:t xml:space="preserve">) </w:t>
      </w:r>
      <w:r w:rsidR="009B3722" w:rsidRPr="00815A64">
        <w:t>among all households</w:t>
      </w:r>
      <w:r w:rsidR="009B3722">
        <w:t xml:space="preserve"> (</w:t>
      </w:r>
      <w:r w:rsidR="009B3722" w:rsidRPr="00815A64">
        <w:t xml:space="preserve">both </w:t>
      </w:r>
      <w:r w:rsidR="001000FF">
        <w:t>lenders</w:t>
      </w:r>
      <w:r w:rsidR="009B3722" w:rsidRPr="00815A64">
        <w:t xml:space="preserve"> and </w:t>
      </w:r>
      <w:bookmarkStart w:id="28" w:name="OLE_LINK34"/>
      <w:r w:rsidR="001000FF">
        <w:rPr>
          <w:lang w:bidi="he-IL"/>
        </w:rPr>
        <w:t>borrowers</w:t>
      </w:r>
      <w:r w:rsidR="009B3722">
        <w:t>)</w:t>
      </w:r>
      <w:bookmarkEnd w:id="28"/>
      <w:r w:rsidR="000C227B">
        <w:t>,</w:t>
      </w:r>
      <w:r w:rsidR="009B3722">
        <w:t xml:space="preserve"> result</w:t>
      </w:r>
      <w:r w:rsidR="001429F3">
        <w:t>ing</w:t>
      </w:r>
      <w:r w:rsidR="009B3722">
        <w:t xml:space="preserve"> in </w:t>
      </w:r>
      <w:r w:rsidRPr="00815A64">
        <w:t>a decrease in the demand for</w:t>
      </w:r>
      <w:r w:rsidR="000C227B">
        <w:t xml:space="preserve"> </w:t>
      </w:r>
      <w:r w:rsidR="000C227B" w:rsidRPr="00815A64">
        <w:t>consumption (</w:t>
      </w:r>
      <m:oMath>
        <m:r>
          <w:rPr>
            <w:rFonts w:ascii="Cambria Math" w:hAnsi="Cambria Math"/>
          </w:rPr>
          <m:t>C</m:t>
        </m:r>
        <m:r>
          <m:rPr>
            <m:sty m:val="p"/>
          </m:rPr>
          <w:rPr>
            <w:rFonts w:ascii="Cambria Math" w:hAnsi="Cambria Math"/>
          </w:rPr>
          <m:t xml:space="preserve">, </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000C227B" w:rsidRPr="00815A64">
        <w:t>) and housing rental services (</w:t>
      </w:r>
      <m:oMath>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 xml:space="preserve">, </m:t>
        </m:r>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sup>
        </m:sSubSup>
      </m:oMath>
      <w:r w:rsidR="000C227B" w:rsidRPr="00815A64">
        <w:t xml:space="preserve"> )</w:t>
      </w:r>
      <w:r w:rsidR="00E24713">
        <w:t xml:space="preserve">. </w:t>
      </w:r>
    </w:p>
    <w:p w14:paraId="30141580" w14:textId="77777777" w:rsidR="00CF6E97" w:rsidRDefault="001A66DC" w:rsidP="001429F3">
      <w:pPr>
        <w:pStyle w:val="BodyText"/>
      </w:pPr>
      <w:r>
        <w:t>In addition</w:t>
      </w:r>
      <w:r w:rsidR="008A5DC3">
        <w:t xml:space="preserve">, </w:t>
      </w:r>
      <w:r w:rsidR="004E2EB9" w:rsidRPr="00815A64">
        <w:t xml:space="preserve">the </w:t>
      </w:r>
      <w:r w:rsidR="008B06EE">
        <w:t>investors</w:t>
      </w:r>
      <w:r>
        <w:t>’</w:t>
      </w:r>
      <w:r w:rsidR="008A5DC3">
        <w:t xml:space="preserve"> (</w:t>
      </w:r>
      <w:r w:rsidR="008A5DC3" w:rsidRPr="00815A64">
        <w:t>unconstrained households</w:t>
      </w:r>
      <w:r w:rsidR="008A5DC3">
        <w:t xml:space="preserve">) </w:t>
      </w:r>
      <w:r>
        <w:t xml:space="preserve">demand </w:t>
      </w:r>
      <w:r w:rsidR="00AE6129">
        <w:t xml:space="preserve">for </w:t>
      </w:r>
      <w:r w:rsidR="001831DC">
        <w:t>rental property investment</w:t>
      </w:r>
      <w:r w:rsidR="004E2EB9" w:rsidRPr="00815A64">
        <w:t xml:space="preserve">, </w:t>
      </w:r>
      <w:bookmarkStart w:id="29" w:name="OLE_LINK31"/>
      <m:oMath>
        <m:sSub>
          <m:sSubPr>
            <m:ctrlPr>
              <w:rPr>
                <w:rFonts w:ascii="Cambria Math" w:hAnsi="Cambria Math"/>
              </w:rPr>
            </m:ctrlPr>
          </m:sSubPr>
          <m:e>
            <m:r>
              <w:rPr>
                <w:rFonts w:ascii="Cambria Math" w:hAnsi="Cambria Math"/>
              </w:rPr>
              <m:t>h</m:t>
            </m:r>
          </m:e>
          <m:sub>
            <m:r>
              <w:rPr>
                <w:rFonts w:ascii="Cambria Math" w:hAnsi="Cambria Math"/>
              </w:rPr>
              <m:t>inv</m:t>
            </m:r>
          </m:sub>
        </m:sSub>
      </m:oMath>
      <w:bookmarkEnd w:id="29"/>
      <w:r w:rsidR="004E2EB9" w:rsidRPr="00815A64">
        <w:t>, is decreasing</w:t>
      </w:r>
      <w:r w:rsidR="008A5DC3">
        <w:t xml:space="preserve">. As </w:t>
      </w:r>
      <w:r w:rsidR="00B205BA">
        <w:t xml:space="preserve">a result, </w:t>
      </w:r>
      <w:r w:rsidR="004E2EB9" w:rsidRPr="00815A64">
        <w:t>the total number of rented housing units (</w:t>
      </w:r>
      <m:oMath>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h</m:t>
            </m:r>
          </m:e>
          <m:sub>
            <m:r>
              <w:rPr>
                <w:rFonts w:ascii="Cambria Math" w:hAnsi="Cambria Math"/>
              </w:rPr>
              <m:t>r</m:t>
            </m:r>
          </m:sub>
          <m:sup>
            <m:r>
              <m:rPr>
                <m:sty m:val="p"/>
              </m:rPr>
              <w:rPr>
                <w:rFonts w:ascii="Cambria Math" w:hAnsi="Cambria Math"/>
              </w:rPr>
              <m:t>'</m:t>
            </m:r>
          </m:sup>
        </m:sSubSup>
      </m:oMath>
      <w:r w:rsidR="004E2EB9" w:rsidRPr="00815A64">
        <w:t>) must also decrease by the same amount</w:t>
      </w:r>
      <w:r w:rsidR="00B205BA">
        <w:t xml:space="preserve">, </w:t>
      </w:r>
      <w:r w:rsidR="00AD5F11">
        <w:t>s</w:t>
      </w:r>
      <w:r w:rsidR="00AD5F11" w:rsidRPr="00815A64">
        <w:t>ince</w:t>
      </w:r>
      <w:r w:rsidR="00AD5F11">
        <w:t xml:space="preserve"> the</w:t>
      </w:r>
      <w:r w:rsidR="00B205BA" w:rsidRPr="00815A64">
        <w:t xml:space="preserve"> only housing supply available for rent</w:t>
      </w:r>
      <w:r w:rsidR="00AD5F11">
        <w:t xml:space="preserve"> is </w:t>
      </w:r>
      <m:oMath>
        <m:sSub>
          <m:sSubPr>
            <m:ctrlPr>
              <w:rPr>
                <w:rFonts w:ascii="Cambria Math" w:hAnsi="Cambria Math"/>
              </w:rPr>
            </m:ctrlPr>
          </m:sSubPr>
          <m:e>
            <m:r>
              <w:rPr>
                <w:rFonts w:ascii="Cambria Math" w:hAnsi="Cambria Math"/>
              </w:rPr>
              <m:t>h</m:t>
            </m:r>
          </m:e>
          <m:sub>
            <m:r>
              <w:rPr>
                <w:rFonts w:ascii="Cambria Math" w:hAnsi="Cambria Math"/>
              </w:rPr>
              <m:t>inv</m:t>
            </m:r>
          </m:sub>
        </m:sSub>
      </m:oMath>
      <w:r w:rsidR="008A5DC3">
        <w:t xml:space="preserve"> (see Eq. 6</w:t>
      </w:r>
      <w:r w:rsidR="00232AFA">
        <w:t xml:space="preserve"> in Section 4.4</w:t>
      </w:r>
      <w:r w:rsidR="008A5DC3">
        <w:t>)</w:t>
      </w:r>
      <w:r w:rsidR="00B205BA">
        <w:t>.</w:t>
      </w:r>
      <w:r w:rsidR="00AD5F11">
        <w:t xml:space="preserve"> Moreover, a</w:t>
      </w:r>
      <w:r w:rsidRPr="001F0460">
        <w:t xml:space="preserve"> decrease in the supply of</w:t>
      </w:r>
      <w:r>
        <w:t xml:space="preserve"> rental</w:t>
      </w:r>
      <w:r w:rsidRPr="001F0460">
        <w:t xml:space="preserve"> housing lead</w:t>
      </w:r>
      <w:r>
        <w:t>s</w:t>
      </w:r>
      <w:r w:rsidRPr="001F0460">
        <w:t xml:space="preserve"> to </w:t>
      </w:r>
      <w:r>
        <w:t xml:space="preserve">a </w:t>
      </w:r>
      <w:r w:rsidRPr="001F0460">
        <w:t xml:space="preserve">higher real </w:t>
      </w:r>
      <w:r>
        <w:t xml:space="preserve">price of </w:t>
      </w:r>
      <w:r w:rsidRPr="001F0460">
        <w:t>rent</w:t>
      </w:r>
      <w:r w:rsidR="00AD5F11">
        <w:t xml:space="preserve">, </w:t>
      </w:r>
      <m:oMath>
        <m:r>
          <w:rPr>
            <w:rFonts w:ascii="Cambria Math" w:hAnsi="Cambria Math"/>
          </w:rPr>
          <m:t>r</m:t>
        </m:r>
      </m:oMath>
      <w:r w:rsidRPr="001F0460">
        <w:t>.</w:t>
      </w:r>
    </w:p>
    <w:p w14:paraId="4407DB31" w14:textId="42A50DBB" w:rsidR="009544BD" w:rsidRDefault="004E4072" w:rsidP="00396AD4">
      <w:pPr>
        <w:pStyle w:val="BodyText"/>
      </w:pPr>
      <w:r w:rsidRPr="004E4072">
        <w:t xml:space="preserve">Furthermore, the housing market experiences a significant decline in housing prices as valuations adjust to higher interest rates. The increase in interest rates also leads to a corresponding rise in mortgage rates on new loans, displaying an almost one-to-one relationship (see Section 4.1.1). </w:t>
      </w:r>
      <w:r w:rsidR="00396AD4" w:rsidRPr="00396AD4">
        <w:t>However, the effective mortgage rate on the outstanding stock of mortgages increases only marginally, reflecting the gradual adjustment of existing long-term contracts (as demonstrated in Section 6.3 below).</w:t>
      </w:r>
    </w:p>
    <w:p w14:paraId="0D899616" w14:textId="652C34BD" w:rsidR="00233461" w:rsidRDefault="001429F3" w:rsidP="00F44C26">
      <w:pPr>
        <w:pStyle w:val="BodyText"/>
        <w:rPr>
          <w:lang w:bidi="he-IL"/>
        </w:rPr>
      </w:pPr>
      <w:r>
        <w:t>M</w:t>
      </w:r>
      <w:r w:rsidR="004E2EB9" w:rsidRPr="00815A64">
        <w:t>ortgages</w:t>
      </w:r>
      <w:r>
        <w:t xml:space="preserve"> therefore</w:t>
      </w:r>
      <w:r w:rsidR="004E2EB9" w:rsidRPr="00815A64">
        <w:t xml:space="preserve"> become more expensive,</w:t>
      </w:r>
      <w:r w:rsidR="008A5DC3">
        <w:rPr>
          <w:lang w:bidi="he-IL"/>
        </w:rPr>
        <w:t xml:space="preserve"> </w:t>
      </w:r>
      <w:r>
        <w:rPr>
          <w:lang w:bidi="he-IL"/>
        </w:rPr>
        <w:t xml:space="preserve">which </w:t>
      </w:r>
      <w:r w:rsidR="008A5DC3">
        <w:rPr>
          <w:lang w:bidi="he-IL"/>
        </w:rPr>
        <w:t>push</w:t>
      </w:r>
      <w:r>
        <w:rPr>
          <w:lang w:bidi="he-IL"/>
        </w:rPr>
        <w:t>es</w:t>
      </w:r>
      <w:r w:rsidR="008A5DC3">
        <w:rPr>
          <w:lang w:bidi="he-IL"/>
        </w:rPr>
        <w:t xml:space="preserve"> borrowers </w:t>
      </w:r>
      <w:r w:rsidR="008A5DC3">
        <w:t>(</w:t>
      </w:r>
      <w:r w:rsidR="004E2EB9" w:rsidRPr="00815A64">
        <w:t>financially constrained households</w:t>
      </w:r>
      <w:r w:rsidR="008A5DC3">
        <w:t>)</w:t>
      </w:r>
      <w:r w:rsidR="004E2EB9" w:rsidRPr="00815A64">
        <w:t xml:space="preserve"> to reduce their</w:t>
      </w:r>
      <w:r w:rsidR="005D5858">
        <w:t xml:space="preserve"> new</w:t>
      </w:r>
      <w:r w:rsidR="004E2EB9" w:rsidRPr="00815A64">
        <w:t xml:space="preserve"> debt burden and, consequently,</w:t>
      </w:r>
      <w:r w:rsidR="00E67F10">
        <w:t xml:space="preserve"> to reduce</w:t>
      </w:r>
      <w:r w:rsidR="004E2EB9" w:rsidRPr="00815A64">
        <w:t xml:space="preserve"> their </w:t>
      </w:r>
      <w:r w:rsidR="00F9378C">
        <w:t xml:space="preserve">expenses and their </w:t>
      </w:r>
      <w:r>
        <w:t>home</w:t>
      </w:r>
      <w:r w:rsidRPr="00815A64">
        <w:t xml:space="preserve"> </w:t>
      </w:r>
      <w:r w:rsidR="004E2EB9" w:rsidRPr="00815A64">
        <w:t>ownership</w:t>
      </w:r>
      <w:r w:rsidR="00F9378C">
        <w:t>. This makes</w:t>
      </w:r>
      <w:r w:rsidR="000E0EF1">
        <w:t xml:space="preserve"> the collateral constrain</w:t>
      </w:r>
      <w:r w:rsidR="00E3264B">
        <w:t>t</w:t>
      </w:r>
      <w:r w:rsidR="000E0EF1">
        <w:t xml:space="preserve"> tighter and result</w:t>
      </w:r>
      <w:r w:rsidR="0030735B">
        <w:t>s</w:t>
      </w:r>
      <w:r w:rsidR="000E0EF1">
        <w:t xml:space="preserve"> in</w:t>
      </w:r>
      <w:r w:rsidR="00F9378C">
        <w:t xml:space="preserve"> </w:t>
      </w:r>
      <w:r w:rsidR="001A66DC">
        <w:t>borrowers</w:t>
      </w:r>
      <w:r w:rsidR="000E0EF1">
        <w:t xml:space="preserve"> deleveraging</w:t>
      </w:r>
      <w:r w:rsidR="00DC485B">
        <w:t xml:space="preserve"> their </w:t>
      </w:r>
      <w:r>
        <w:t>debt</w:t>
      </w:r>
      <w:r w:rsidR="000E0EF1">
        <w:t xml:space="preserve"> </w:t>
      </w:r>
      <w:r w:rsidR="00F9378C" w:rsidRPr="00815A64">
        <w:t xml:space="preserve">to meet </w:t>
      </w:r>
      <w:r w:rsidR="00F9378C">
        <w:t xml:space="preserve">the </w:t>
      </w:r>
      <w:r w:rsidR="00F9378C" w:rsidRPr="00815A64">
        <w:t>LTV constraint</w:t>
      </w:r>
      <w:r w:rsidR="00F9378C">
        <w:t xml:space="preserve">, </w:t>
      </w:r>
      <w:r w:rsidR="001A66DC">
        <w:t xml:space="preserve">further </w:t>
      </w:r>
      <w:r w:rsidR="00F9378C">
        <w:t>push</w:t>
      </w:r>
      <w:r>
        <w:t>ing</w:t>
      </w:r>
      <w:r w:rsidR="00F9378C">
        <w:t xml:space="preserve"> down the</w:t>
      </w:r>
      <w:r w:rsidR="001A66DC">
        <w:t xml:space="preserve">ir </w:t>
      </w:r>
      <w:r w:rsidR="00786D3B">
        <w:t>expenses</w:t>
      </w:r>
      <w:r>
        <w:t>,</w:t>
      </w:r>
      <w:r w:rsidR="00786D3B">
        <w:t xml:space="preserve"> and</w:t>
      </w:r>
      <w:r w:rsidR="005C455B">
        <w:t xml:space="preserve"> thus reduc</w:t>
      </w:r>
      <w:r>
        <w:t>ing</w:t>
      </w:r>
      <w:r w:rsidR="001A66DC">
        <w:t xml:space="preserve"> ownership</w:t>
      </w:r>
      <w:r w:rsidR="00D80D32">
        <w:t>,</w:t>
      </w:r>
      <w:r w:rsidR="005C455B">
        <w:t xml:space="preserve"> rental</w:t>
      </w:r>
      <w:r>
        <w:t>,</w:t>
      </w:r>
      <w:r w:rsidR="00D80D32">
        <w:t xml:space="preserve"> and consumption</w:t>
      </w:r>
      <w:r w:rsidR="001A66DC">
        <w:t xml:space="preserve"> demand</w:t>
      </w:r>
      <w:r w:rsidR="005D5858">
        <w:t>. Stock of debt decreases gradually, as a result of the cumulative decreasing of new debt.</w:t>
      </w:r>
    </w:p>
    <w:p w14:paraId="724F8183" w14:textId="77777777" w:rsidR="00CF6E97" w:rsidRDefault="001A66DC" w:rsidP="001429F3">
      <w:pPr>
        <w:pStyle w:val="BodyText"/>
      </w:pPr>
      <w:r w:rsidRPr="00815A64">
        <w:t xml:space="preserve">Notably, the rent to </w:t>
      </w:r>
      <w:r w:rsidR="001429F3">
        <w:t xml:space="preserve">home </w:t>
      </w:r>
      <w:r w:rsidRPr="00815A64">
        <w:t>price ratio (</w:t>
      </w:r>
      <m:oMath>
        <m:f>
          <m:fPr>
            <m:type m:val="lin"/>
            <m:ctrlPr>
              <w:rPr>
                <w:rFonts w:ascii="Cambria Math" w:hAnsi="Cambria Math"/>
              </w:rPr>
            </m:ctrlPr>
          </m:fPr>
          <m:num>
            <m:r>
              <w:rPr>
                <w:rFonts w:ascii="Cambria Math" w:hAnsi="Cambria Math"/>
              </w:rPr>
              <m:t>r</m:t>
            </m:r>
            <m:ctrlPr>
              <w:rPr>
                <w:rFonts w:ascii="Cambria Math" w:hAnsi="Cambria Math"/>
                <w:i/>
              </w:rPr>
            </m:ctrlPr>
          </m:num>
          <m:den>
            <m:r>
              <w:rPr>
                <w:rFonts w:ascii="Cambria Math" w:hAnsi="Cambria Math"/>
              </w:rPr>
              <m:t>q</m:t>
            </m:r>
          </m:den>
        </m:f>
      </m:oMath>
      <w:r w:rsidRPr="00815A64">
        <w:t xml:space="preserve">), which represents the return on </w:t>
      </w:r>
      <w:r w:rsidR="001429F3">
        <w:t>dwellings</w:t>
      </w:r>
      <w:r w:rsidRPr="00815A64">
        <w:t xml:space="preserve">, increases, aligning with the higher interest rate. </w:t>
      </w:r>
    </w:p>
    <w:p w14:paraId="6F286F48" w14:textId="77777777" w:rsidR="00CF6E97" w:rsidRDefault="001A66DC" w:rsidP="001429F3">
      <w:pPr>
        <w:pStyle w:val="BodyText"/>
      </w:pPr>
      <w:r w:rsidRPr="00815A64">
        <w:t xml:space="preserve">Interestingly, </w:t>
      </w:r>
      <w:r w:rsidR="0037399D">
        <w:t>lenders (</w:t>
      </w:r>
      <w:r w:rsidRPr="00815A64">
        <w:t>unconstrained households</w:t>
      </w:r>
      <w:r w:rsidR="0037399D">
        <w:t xml:space="preserve">) </w:t>
      </w:r>
      <w:r w:rsidRPr="00815A64">
        <w:t xml:space="preserve">take advantage of the lower </w:t>
      </w:r>
      <w:r w:rsidR="001429F3">
        <w:t>home</w:t>
      </w:r>
      <w:r w:rsidR="001429F3" w:rsidRPr="00815A64">
        <w:t xml:space="preserve"> </w:t>
      </w:r>
      <w:r w:rsidRPr="00815A64">
        <w:t xml:space="preserve">prices and increase their </w:t>
      </w:r>
      <w:r w:rsidR="001429F3">
        <w:t>home</w:t>
      </w:r>
      <w:r w:rsidRPr="00815A64">
        <w:t xml:space="preserve"> ownership</w:t>
      </w:r>
      <w:r w:rsidR="005C455B">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oMath>
      <w:r w:rsidR="0026785C">
        <w:t>.</w:t>
      </w:r>
      <w:r w:rsidR="002E7B14">
        <w:t xml:space="preserve"> </w:t>
      </w:r>
      <w:r w:rsidR="001429F3">
        <w:t>T</w:t>
      </w:r>
      <w:r>
        <w:t xml:space="preserve">his is the only segment of </w:t>
      </w:r>
      <w:r w:rsidR="009F31D1">
        <w:t xml:space="preserve">the </w:t>
      </w:r>
      <w:r>
        <w:t xml:space="preserve">housing </w:t>
      </w:r>
      <w:r w:rsidR="009F31D1">
        <w:t>market that</w:t>
      </w:r>
      <w:r>
        <w:t xml:space="preserve"> </w:t>
      </w:r>
      <w:r w:rsidR="009503FF">
        <w:t>increase</w:t>
      </w:r>
      <w:r w:rsidR="009F31D1">
        <w:t>s</w:t>
      </w:r>
      <w:r w:rsidR="009503FF">
        <w:t xml:space="preserve"> and</w:t>
      </w:r>
      <w:r>
        <w:t xml:space="preserve"> clear</w:t>
      </w:r>
      <w:r w:rsidR="009F31D1">
        <w:t>s</w:t>
      </w:r>
      <w:r>
        <w:t xml:space="preserve"> the market.</w:t>
      </w:r>
    </w:p>
    <w:p w14:paraId="4FF91B4C" w14:textId="77777777" w:rsidR="007D3D54" w:rsidRDefault="001A66DC">
      <w:pPr>
        <w:pStyle w:val="BodyText"/>
      </w:pPr>
      <w:r w:rsidRPr="00815A64">
        <w:t xml:space="preserve">As </w:t>
      </w:r>
      <w:r w:rsidR="000E0EF1">
        <w:t>discussed</w:t>
      </w:r>
      <w:r w:rsidRPr="00815A64">
        <w:t xml:space="preserve">, </w:t>
      </w:r>
      <w:r w:rsidR="000E0EF1" w:rsidRPr="00815A64">
        <w:t>to</w:t>
      </w:r>
      <w:r w:rsidRPr="00815A64">
        <w:t xml:space="preserve"> meet the LTV constraint,</w:t>
      </w:r>
      <w:r w:rsidR="00694967" w:rsidRPr="00694967">
        <w:t xml:space="preserve"> </w:t>
      </w:r>
      <w:r w:rsidR="00F55E2F">
        <w:t>borrowers</w:t>
      </w:r>
      <w:r w:rsidR="00694967">
        <w:t xml:space="preserve"> </w:t>
      </w:r>
      <w:r w:rsidRPr="00815A64">
        <w:t xml:space="preserve">decrease their </w:t>
      </w:r>
      <w:r w:rsidR="001429F3">
        <w:t>home</w:t>
      </w:r>
      <w:r w:rsidR="001429F3" w:rsidRPr="00815A64">
        <w:t xml:space="preserve"> </w:t>
      </w:r>
      <w:r w:rsidRPr="00815A64">
        <w:t>ownership, which could potentially result in increased demand for rent</w:t>
      </w:r>
      <w:r w:rsidR="001429F3">
        <w:t>als</w:t>
      </w:r>
      <w:r w:rsidR="009503FF">
        <w:t xml:space="preserve"> (</w:t>
      </w:r>
      <w:r w:rsidR="009503FF" w:rsidRPr="00AC677D">
        <w:t xml:space="preserve">substitution effect between </w:t>
      </w:r>
      <w:r w:rsidR="00AC677D" w:rsidRPr="00815A64">
        <w:t>ownership</w:t>
      </w:r>
      <w:r w:rsidR="009503FF" w:rsidRPr="00AC677D">
        <w:t xml:space="preserve"> and </w:t>
      </w:r>
      <w:r w:rsidR="00AC677D" w:rsidRPr="00815A64">
        <w:t>renting</w:t>
      </w:r>
      <w:r w:rsidR="009503FF">
        <w:t>)</w:t>
      </w:r>
      <w:r w:rsidRPr="00815A64">
        <w:t xml:space="preserve">. However, this </w:t>
      </w:r>
      <w:r w:rsidR="00E86759">
        <w:t xml:space="preserve">does </w:t>
      </w:r>
      <w:r w:rsidR="00D0128C">
        <w:t xml:space="preserve">not </w:t>
      </w:r>
      <w:r w:rsidR="00694967">
        <w:t xml:space="preserve">happen </w:t>
      </w:r>
      <w:r w:rsidR="00E86759">
        <w:t xml:space="preserve">immediately </w:t>
      </w:r>
      <w:r w:rsidR="00D0128C">
        <w:t xml:space="preserve">but </w:t>
      </w:r>
      <w:r w:rsidR="00E86759">
        <w:t xml:space="preserve">is </w:t>
      </w:r>
      <w:r w:rsidRPr="00815A64">
        <w:t xml:space="preserve">delayed by </w:t>
      </w:r>
      <w:r w:rsidR="00EF0844">
        <w:t xml:space="preserve">several </w:t>
      </w:r>
      <w:r w:rsidR="00694967">
        <w:t>quarters</w:t>
      </w:r>
      <w:r w:rsidR="000E0EF1">
        <w:t>.</w:t>
      </w:r>
      <w:r w:rsidR="00694967">
        <w:t xml:space="preserve"> </w:t>
      </w:r>
    </w:p>
    <w:p w14:paraId="1DE52EF7" w14:textId="1825463E" w:rsidR="00413550" w:rsidRDefault="008E27CA" w:rsidP="00413550">
      <w:pPr>
        <w:pStyle w:val="BodyText"/>
      </w:pPr>
      <w:r>
        <w:lastRenderedPageBreak/>
        <w:t>T</w:t>
      </w:r>
      <w:r w:rsidR="00AC677D">
        <w:t>wo main</w:t>
      </w:r>
      <w:r w:rsidR="001A66DC" w:rsidRPr="00815A64">
        <w:t xml:space="preserve"> factors discourage demand</w:t>
      </w:r>
      <w:r w:rsidR="00233461">
        <w:t xml:space="preserve"> for rental </w:t>
      </w:r>
      <w:r>
        <w:t xml:space="preserve">housing </w:t>
      </w:r>
      <w:r w:rsidR="00233461">
        <w:t>services</w:t>
      </w:r>
      <w:r w:rsidR="001A66DC" w:rsidRPr="00815A64">
        <w:t xml:space="preserve">: </w:t>
      </w:r>
      <w:r>
        <w:t>(</w:t>
      </w:r>
      <w:r w:rsidR="001A66DC" w:rsidRPr="00815A64">
        <w:t>a</w:t>
      </w:r>
      <w:r w:rsidR="00694967">
        <w:t>)</w:t>
      </w:r>
      <w:r w:rsidR="001A66DC" w:rsidRPr="00815A64">
        <w:t xml:space="preserve"> </w:t>
      </w:r>
      <w:r w:rsidR="00EA4471">
        <w:t>a</w:t>
      </w:r>
      <w:r w:rsidR="00EA4471" w:rsidRPr="00815A64">
        <w:t xml:space="preserve"> </w:t>
      </w:r>
      <w:r w:rsidR="00233461">
        <w:t xml:space="preserve">general </w:t>
      </w:r>
      <w:r w:rsidR="001A66DC" w:rsidRPr="00815A64">
        <w:t xml:space="preserve">reduction in demand </w:t>
      </w:r>
      <w:r w:rsidR="009E2E80">
        <w:t xml:space="preserve">due to </w:t>
      </w:r>
      <w:r w:rsidR="001753F2">
        <w:t>high real interest rate</w:t>
      </w:r>
      <w:r w:rsidR="009E2E80">
        <w:t>s</w:t>
      </w:r>
      <w:r w:rsidR="001753F2">
        <w:t xml:space="preserve"> </w:t>
      </w:r>
      <w:r w:rsidR="0026785C">
        <w:t>and</w:t>
      </w:r>
      <w:r w:rsidR="001753F2">
        <w:t xml:space="preserve"> </w:t>
      </w:r>
      <w:r w:rsidR="001429F3">
        <w:t xml:space="preserve">the </w:t>
      </w:r>
      <w:r w:rsidR="001753F2">
        <w:t>debt deleveraging process</w:t>
      </w:r>
      <w:r w:rsidR="009E2E80">
        <w:t>, and</w:t>
      </w:r>
      <w:r w:rsidR="001A66DC" w:rsidRPr="001F0460">
        <w:t xml:space="preserve"> </w:t>
      </w:r>
      <w:r w:rsidR="009E2E80">
        <w:t>(</w:t>
      </w:r>
      <w:r w:rsidR="001A66DC" w:rsidRPr="00D57137">
        <w:t>b</w:t>
      </w:r>
      <w:r w:rsidR="00694967">
        <w:t>)</w:t>
      </w:r>
      <w:r w:rsidR="001A66DC" w:rsidRPr="001F0460">
        <w:t xml:space="preserve"> </w:t>
      </w:r>
      <w:r w:rsidR="00EA4471">
        <w:t>h</w:t>
      </w:r>
      <w:r w:rsidR="001A66DC" w:rsidRPr="001F0460">
        <w:t xml:space="preserve">igher </w:t>
      </w:r>
      <w:r w:rsidR="00EA4471">
        <w:t xml:space="preserve">real </w:t>
      </w:r>
      <w:r w:rsidR="00AC677D">
        <w:t xml:space="preserve">rent </w:t>
      </w:r>
      <w:r w:rsidR="001A66DC">
        <w:t>price</w:t>
      </w:r>
      <w:r w:rsidR="00EA4471">
        <w:t>s</w:t>
      </w:r>
      <w:r w:rsidR="001A66DC">
        <w:t xml:space="preserve"> </w:t>
      </w:r>
      <w:r w:rsidR="001A66DC" w:rsidRPr="001F0460">
        <w:t>(supported by low general inflation, as a relative price effect)</w:t>
      </w:r>
      <w:r w:rsidR="00AC677D">
        <w:t xml:space="preserve">. </w:t>
      </w:r>
      <w:r w:rsidR="001753F2">
        <w:t>I</w:t>
      </w:r>
      <w:r w:rsidR="001A66DC" w:rsidRPr="001F0460">
        <w:t>t</w:t>
      </w:r>
      <w:r w:rsidR="001753F2">
        <w:t xml:space="preserve"> </w:t>
      </w:r>
      <w:r w:rsidR="001A66DC" w:rsidRPr="001F0460">
        <w:t xml:space="preserve">is essential to emphasize that households may reduce both </w:t>
      </w:r>
      <w:r w:rsidR="001429F3">
        <w:t>home</w:t>
      </w:r>
      <w:r w:rsidR="001429F3" w:rsidRPr="001F0460">
        <w:t xml:space="preserve"> </w:t>
      </w:r>
      <w:r w:rsidR="001A66DC" w:rsidRPr="001F0460">
        <w:t>ownership and renting, for instance by downsizing from a 4-room apartment to a 3-room apartmen</w:t>
      </w:r>
      <w:r w:rsidR="00694967">
        <w:t>t</w:t>
      </w:r>
      <w:r w:rsidR="00694967" w:rsidRPr="00426E3A">
        <w:t>.</w:t>
      </w:r>
    </w:p>
    <w:p w14:paraId="69048699" w14:textId="61148CC4" w:rsidR="001E58B7" w:rsidRDefault="00C82E05" w:rsidP="00217BCE">
      <w:pPr>
        <w:pStyle w:val="BodyText"/>
      </w:pPr>
      <w:r w:rsidRPr="002A266F">
        <w:t>Compared to the relevant literature</w:t>
      </w:r>
      <w:r>
        <w:t xml:space="preserve"> in Israel</w:t>
      </w:r>
      <w:r w:rsidRPr="002A266F">
        <w:t>, our findings align qualitatively wit</w:t>
      </w:r>
      <w:r>
        <w:t xml:space="preserve">h much of the existing research. </w:t>
      </w:r>
      <w:r w:rsidR="003F189B" w:rsidRPr="003F189B">
        <w:rPr>
          <w:color w:val="0081AD"/>
        </w:rPr>
        <w:fldChar w:fldCharType="begin"/>
      </w:r>
      <w:r w:rsidR="003F189B" w:rsidRPr="003F189B">
        <w:rPr>
          <w:color w:val="0081AD"/>
        </w:rPr>
        <w:instrText xml:space="preserve"> ADDIN ZOTERO_ITEM CSL_CITATION {"citationID":"JTrNAKX4","properties":{"unsorted":false,"formattedCitation":"Nagar and Segal (2014)","plainCitation":"Nagar and Segal (2014)","noteIndex":0},"citationItems":[{"id":3769,"uris":["http://zotero.org/users/6680486/items/6FDYBIZ5"],"itemData":{"id":3769,"type":"article-journal","abstract":"In light of the steep increase of home prices and rents in Israel in 2009-2010, we identified and quantified the macroeconomic variables that influenced these prices between 1999 and 2010. Estimating an error-correction model and a difference equation model, we found that the monetary interest rate cut in response to the global economic crisis was the main reason for the steep increase in home prices in 2009-2010. An additional factor, although to a lesser degree, was the shortage in dwellings. An interest rate cut of one percentage point led to a 6.5 percent increase in home prices over approximately two years. Monetary policy also had a significant impact on home prices during the years 2004-2007, before the current economic crisis. Hence, monetary policy affects home price movement, and this movement may also be an indicator for the extent to which monetary policy is expansionary or restrictive with respect to financial stability. Consequently, monetary policy decision makers should consider its effect on home prices. The models generate a forecast for six quarters, and thus support the decision making process at the Bank of Israel on a regular basis.","citation-key":"nagarWhatExplainsDevelopments2014","container-title":"Israel Economic Review","issue":"1","language":"en","page":"115-161","source":"Social Science Research Network","title":"What Explains the Developments in Home Prices and Rents in Israel between 1999 and 2010?","volume":"12","author":[{"family":"Nagar","given":"Weitzman"},{"family":"Segal","given":"Guy"}],"issued":{"date-parts":[["2014",11,1]]}}}],"schema":"https://github.com/citation-style-language/schema/raw/master/csl-citation.json"} </w:instrText>
      </w:r>
      <w:r w:rsidR="003F189B" w:rsidRPr="003F189B">
        <w:rPr>
          <w:color w:val="0081AD"/>
        </w:rPr>
        <w:fldChar w:fldCharType="separate"/>
      </w:r>
      <w:r w:rsidR="003F189B" w:rsidRPr="003F189B">
        <w:rPr>
          <w:rFonts w:ascii="Utopia" w:hAnsi="Utopia"/>
          <w:color w:val="0081AD"/>
        </w:rPr>
        <w:t>Nagar and Segal (2014)</w:t>
      </w:r>
      <w:r w:rsidR="003F189B" w:rsidRPr="003F189B">
        <w:rPr>
          <w:color w:val="0081AD"/>
        </w:rPr>
        <w:fldChar w:fldCharType="end"/>
      </w:r>
      <w:r w:rsidR="003F189B">
        <w:t xml:space="preserve"> </w:t>
      </w:r>
      <w:r w:rsidRPr="00573EE4">
        <w:t xml:space="preserve">find that a 1 percentage point increase in the monetary interest rate leads to a 6.5 percent decline in nominal home prices over a two-year period. Similarly, </w:t>
      </w:r>
      <w:r w:rsidR="003F189B" w:rsidRPr="003F189B">
        <w:rPr>
          <w:color w:val="0081AD"/>
        </w:rPr>
        <w:fldChar w:fldCharType="begin"/>
      </w:r>
      <w:r w:rsidR="003F189B" w:rsidRPr="003F189B">
        <w:rPr>
          <w:color w:val="0081AD"/>
        </w:rPr>
        <w:instrText xml:space="preserve"> ADDIN ZOTERO_ITEM CSL_CITATION {"citationID":"mjkX81ut","properties":{"unsorted":false,"formattedCitation":"Yakhin and Gamrasni (2021)","plainCitation":"Yakhin and Gamrasni (2021)","noteIndex":0},"citationItems":[{"id":1671,"uris":["http://zotero.org/users/6680486/items/IEPPGCAZ"],"itemData":{"id":1671,"type":"article","abstract":"The housing market is characterized by persistent deviations from the long-run equilibrium, and these deviations affect market dynamics in the short run. Therefore, any empirical analysis of the housing market must identify these long-run relations. This paper estimates an econometric model for the housing market in Israel for the years 1980–2019, where the longrun relations are estimated based on the theoretical model of DiPasquale and Wheaton (1992). We utilize the model to learn about the characteristics of the Israeli housing market and about the factors driving home prices, rents, and construction activity during the sample period. The model sheds light on the interaction between home prices and rents: A rise in rents pushes prices higher as it increases the return from home ownership. In contrast, an increase in home prices reduces rents because it stimulates housing supply. We also find that both demand and supply are inelastic in the long run; as a result, external shocks to the market are mainly manifested as changes in prices rather than quantities. As for the factors behind the surge in home prices that started in 2008, the estimation of the model suggests that about half of the rise in prices during 2008–11 was driven by undervaluation of homes in the preceding period. Monetary policy also supported prices during that period, though our estimates suggest that it played a minor role. Supply-side shortage had a moderate but persistent effect on house prices, and starting in 2012 supply shortage alongside rising household income are the main factors supporting prices. The acceleration in construction activity in recent years closed much of the supply shortage toward the end of the sample period.","citation-key":"yakhinHousingMarketIsrael2021","collection-number":"2021.08","collection-title":"Discussion Paper Series","language":"en","publisher-place":"Bank of Israel Research Department","source":"Zotero","title":"The Housing Market in Israel: Long-Run Equilibrium and Short-Run Dynamics","URL":"https://boiwebrepec.azurefd.net/RePEc/boi/wpaper/WP_2021.08.pdf","author":[{"family":"Yakhin","given":"Yossi"},{"family":"Gamrasni","given":"Inon"}],"issued":{"date-parts":[["2021",5]]}}}],"schema":"https://github.com/citation-style-language/schema/raw/master/csl-citation.json"} </w:instrText>
      </w:r>
      <w:r w:rsidR="003F189B" w:rsidRPr="003F189B">
        <w:rPr>
          <w:color w:val="0081AD"/>
        </w:rPr>
        <w:fldChar w:fldCharType="separate"/>
      </w:r>
      <w:r w:rsidR="003F189B" w:rsidRPr="003F189B">
        <w:rPr>
          <w:rFonts w:ascii="Utopia" w:hAnsi="Utopia"/>
          <w:color w:val="0081AD"/>
        </w:rPr>
        <w:t>Yakhin and Gamrasni (2021)</w:t>
      </w:r>
      <w:r w:rsidR="003F189B" w:rsidRPr="003F189B">
        <w:rPr>
          <w:color w:val="0081AD"/>
        </w:rPr>
        <w:fldChar w:fldCharType="end"/>
      </w:r>
      <w:r w:rsidR="003F189B">
        <w:t xml:space="preserve"> </w:t>
      </w:r>
      <w:r w:rsidRPr="00573EE4">
        <w:t>report that a 1 percentage point rise in short-term real interest rates results in a 2 percent decrease in real home prices over a one-year period. In our model, a comparable measure produces a decline of approximately 1.2 (2.4) percent in real terms and 3.3 (6.6) percent in nominal terms over a one-year (two-year) period.</w:t>
      </w:r>
    </w:p>
    <w:p w14:paraId="67C159F7" w14:textId="01CA5275" w:rsidR="00DF78BA" w:rsidRDefault="001A66DC" w:rsidP="009E0C38">
      <w:pPr>
        <w:pStyle w:val="Caption"/>
        <w:rPr>
          <w:rFonts w:cs="David"/>
          <w:noProof/>
          <w:rtl/>
          <w:lang w:bidi="he-IL"/>
        </w:rPr>
      </w:pPr>
      <w:bookmarkStart w:id="30" w:name="OLE_LINK6"/>
      <w:r w:rsidRPr="00AE64AE">
        <w:rPr>
          <w:color w:val="3333B3"/>
          <w:szCs w:val="24"/>
        </w:rPr>
        <w:t xml:space="preserve">Figure </w:t>
      </w:r>
      <w:r w:rsidR="009E0C38">
        <w:rPr>
          <w:color w:val="3333B3"/>
          <w:szCs w:val="24"/>
        </w:rPr>
        <w:t>4</w:t>
      </w:r>
      <w:r w:rsidRPr="00AE64AE">
        <w:rPr>
          <w:color w:val="3333B3"/>
          <w:szCs w:val="24"/>
        </w:rPr>
        <w:t xml:space="preserve">: </w:t>
      </w:r>
      <w:r w:rsidR="00622450" w:rsidRPr="00AE64AE">
        <w:rPr>
          <w:szCs w:val="24"/>
        </w:rPr>
        <w:t>Response to</w:t>
      </w:r>
      <w:r w:rsidR="0046352C">
        <w:rPr>
          <w:szCs w:val="24"/>
        </w:rPr>
        <w:t xml:space="preserve"> a</w:t>
      </w:r>
      <w:r w:rsidR="00622450" w:rsidRPr="00AE64AE">
        <w:rPr>
          <w:szCs w:val="24"/>
        </w:rPr>
        <w:t xml:space="preserve"> </w:t>
      </w:r>
      <w:r w:rsidR="00E94434" w:rsidRPr="00AE64AE">
        <w:rPr>
          <w:szCs w:val="24"/>
        </w:rPr>
        <w:t>1 p</w:t>
      </w:r>
      <w:r w:rsidR="0046352C">
        <w:rPr>
          <w:szCs w:val="24"/>
        </w:rPr>
        <w:t>.</w:t>
      </w:r>
      <w:r w:rsidR="00E94434" w:rsidRPr="00AE64AE">
        <w:rPr>
          <w:szCs w:val="24"/>
        </w:rPr>
        <w:t>p</w:t>
      </w:r>
      <w:r w:rsidR="0046352C">
        <w:rPr>
          <w:szCs w:val="24"/>
        </w:rPr>
        <w:t>.</w:t>
      </w:r>
      <w:r w:rsidR="00E94434" w:rsidRPr="00AE64AE">
        <w:rPr>
          <w:szCs w:val="24"/>
        </w:rPr>
        <w:t xml:space="preserve"> </w:t>
      </w:r>
      <w:r w:rsidR="004E60B9">
        <w:rPr>
          <w:szCs w:val="24"/>
        </w:rPr>
        <w:t>MP</w:t>
      </w:r>
      <w:r w:rsidR="00622450" w:rsidRPr="00AE64AE">
        <w:rPr>
          <w:szCs w:val="24"/>
        </w:rPr>
        <w:t xml:space="preserve"> shock</w:t>
      </w:r>
      <w:r w:rsidR="00CB732E" w:rsidRPr="00AE64AE">
        <w:rPr>
          <w:szCs w:val="24"/>
        </w:rPr>
        <w:t xml:space="preserve">, under </w:t>
      </w:r>
      <w:r w:rsidR="0046352C">
        <w:rPr>
          <w:szCs w:val="24"/>
        </w:rPr>
        <w:t xml:space="preserve">a </w:t>
      </w:r>
      <w:r w:rsidR="00AE68D0" w:rsidRPr="00AE64AE">
        <w:rPr>
          <w:szCs w:val="24"/>
        </w:rPr>
        <w:t xml:space="preserve">baseline </w:t>
      </w:r>
      <w:r w:rsidR="00CB732E" w:rsidRPr="00AE64AE">
        <w:rPr>
          <w:szCs w:val="24"/>
        </w:rPr>
        <w:t xml:space="preserve">LTV restriction </w:t>
      </w:r>
      <w:r w:rsidR="00AE68D0" w:rsidRPr="00AE64AE">
        <w:rPr>
          <w:szCs w:val="24"/>
        </w:rPr>
        <w:t xml:space="preserve">of </w:t>
      </w:r>
      <w:r w:rsidR="00A0218B">
        <w:rPr>
          <w:szCs w:val="24"/>
        </w:rPr>
        <w:t>66</w:t>
      </w:r>
      <w:r w:rsidR="00AE68D0" w:rsidRPr="00AE64AE">
        <w:rPr>
          <w:szCs w:val="24"/>
        </w:rPr>
        <w:t xml:space="preserve">% </w:t>
      </w:r>
      <w:r w:rsidR="0046352C">
        <w:rPr>
          <w:szCs w:val="24"/>
        </w:rPr>
        <w:t>(</w:t>
      </w:r>
      <w:r w:rsidR="00CB732E" w:rsidRPr="00AE64AE">
        <w:rPr>
          <w:szCs w:val="24"/>
        </w:rPr>
        <w:t>blue</w:t>
      </w:r>
      <w:r w:rsidR="00AE68D0" w:rsidRPr="00AE64AE">
        <w:rPr>
          <w:szCs w:val="24"/>
        </w:rPr>
        <w:t xml:space="preserve"> line</w:t>
      </w:r>
      <w:r w:rsidR="00CB732E" w:rsidRPr="00AE64AE">
        <w:rPr>
          <w:szCs w:val="24"/>
        </w:rPr>
        <w:t xml:space="preserve">) and under </w:t>
      </w:r>
      <w:r w:rsidR="0046352C">
        <w:rPr>
          <w:szCs w:val="24"/>
        </w:rPr>
        <w:t xml:space="preserve">a </w:t>
      </w:r>
      <w:r w:rsidR="00CB732E" w:rsidRPr="00AE64AE">
        <w:rPr>
          <w:szCs w:val="24"/>
        </w:rPr>
        <w:t xml:space="preserve">tight LTV </w:t>
      </w:r>
      <w:r w:rsidR="00AE68D0" w:rsidRPr="00AE64AE">
        <w:rPr>
          <w:szCs w:val="24"/>
        </w:rPr>
        <w:t>cap</w:t>
      </w:r>
      <w:r w:rsidR="00CB732E" w:rsidRPr="00AE64AE">
        <w:rPr>
          <w:szCs w:val="24"/>
        </w:rPr>
        <w:t xml:space="preserve"> </w:t>
      </w:r>
      <w:r w:rsidR="00AE68D0" w:rsidRPr="00AE64AE">
        <w:rPr>
          <w:szCs w:val="24"/>
        </w:rPr>
        <w:t xml:space="preserve">of </w:t>
      </w:r>
      <w:r w:rsidR="00A0218B">
        <w:rPr>
          <w:szCs w:val="24"/>
        </w:rPr>
        <w:t>56</w:t>
      </w:r>
      <w:r w:rsidR="00AE68D0" w:rsidRPr="00AE64AE">
        <w:rPr>
          <w:szCs w:val="24"/>
        </w:rPr>
        <w:t xml:space="preserve">% </w:t>
      </w:r>
      <w:r w:rsidR="0046352C">
        <w:rPr>
          <w:szCs w:val="24"/>
        </w:rPr>
        <w:t>(</w:t>
      </w:r>
      <w:r w:rsidR="00CB732E" w:rsidRPr="00AE64AE">
        <w:rPr>
          <w:szCs w:val="24"/>
        </w:rPr>
        <w:t>orange</w:t>
      </w:r>
      <w:r w:rsidR="00AE68D0" w:rsidRPr="00AE64AE">
        <w:rPr>
          <w:szCs w:val="24"/>
        </w:rPr>
        <w:t xml:space="preserve"> </w:t>
      </w:r>
      <w:bookmarkStart w:id="31" w:name="OLE_LINK4"/>
      <w:r w:rsidR="004F3F1C" w:rsidRPr="00AE64AE">
        <w:rPr>
          <w:szCs w:val="24"/>
        </w:rPr>
        <w:t>dash</w:t>
      </w:r>
      <w:r w:rsidR="0046352C">
        <w:rPr>
          <w:szCs w:val="24"/>
        </w:rPr>
        <w:t>ed</w:t>
      </w:r>
      <w:r w:rsidR="004F3F1C" w:rsidRPr="00AE64AE">
        <w:rPr>
          <w:szCs w:val="24"/>
        </w:rPr>
        <w:t xml:space="preserve"> </w:t>
      </w:r>
      <w:r w:rsidR="00AE68D0" w:rsidRPr="00AE64AE">
        <w:rPr>
          <w:szCs w:val="24"/>
        </w:rPr>
        <w:t>line</w:t>
      </w:r>
      <w:bookmarkEnd w:id="31"/>
      <w:r w:rsidR="00CB732E" w:rsidRPr="00AE64AE">
        <w:rPr>
          <w:szCs w:val="24"/>
        </w:rPr>
        <w:t>)</w:t>
      </w:r>
      <w:bookmarkEnd w:id="30"/>
      <w:r w:rsidR="00C62349">
        <w:rPr>
          <w:rFonts w:cs="David"/>
          <w:noProof/>
          <w:lang w:bidi="he-IL"/>
        </w:rPr>
        <w:t>, both under fixed-rate mortgages</w:t>
      </w:r>
    </w:p>
    <w:p w14:paraId="7FA55389" w14:textId="77777777" w:rsidR="00C82B3B" w:rsidRDefault="001A66DC" w:rsidP="00DF78BA">
      <w:pPr>
        <w:pStyle w:val="Caption"/>
        <w:rPr>
          <w:rFonts w:cstheme="minorBidi"/>
          <w:sz w:val="20"/>
          <w:szCs w:val="16"/>
          <w:lang w:bidi="he-IL"/>
        </w:rPr>
      </w:pPr>
      <w:r>
        <w:rPr>
          <w:rFonts w:cs="David"/>
          <w:noProof/>
          <w:lang w:bidi="he-IL"/>
        </w:rPr>
        <w:drawing>
          <wp:inline distT="0" distB="0" distL="0" distR="0" wp14:anchorId="4208D9B5" wp14:editId="6894C959">
            <wp:extent cx="5270500" cy="4975225"/>
            <wp:effectExtent l="0" t="0" r="6350" b="0"/>
            <wp:docPr id="1125347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47475" name="Picture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270500" cy="4975225"/>
                    </a:xfrm>
                    <a:prstGeom prst="rect">
                      <a:avLst/>
                    </a:prstGeom>
                    <a:noFill/>
                    <a:ln>
                      <a:noFill/>
                    </a:ln>
                  </pic:spPr>
                </pic:pic>
              </a:graphicData>
            </a:graphic>
          </wp:inline>
        </w:drawing>
      </w:r>
    </w:p>
    <w:p w14:paraId="0482A3D0" w14:textId="0D726A68" w:rsidR="0028357B" w:rsidRPr="00B50338" w:rsidRDefault="001A66DC" w:rsidP="0062402C">
      <w:pPr>
        <w:pStyle w:val="BodyText"/>
        <w:spacing w:line="240" w:lineRule="auto"/>
        <w:rPr>
          <w:i/>
          <w:iCs/>
        </w:rPr>
      </w:pPr>
      <w:r w:rsidRPr="00B50338">
        <w:rPr>
          <w:i/>
          <w:iCs/>
          <w:sz w:val="20"/>
          <w:szCs w:val="16"/>
          <w:lang w:bidi="he-IL"/>
        </w:rPr>
        <w:lastRenderedPageBreak/>
        <w:t xml:space="preserve">Notes: </w:t>
      </w:r>
      <w:r w:rsidRPr="00B50338">
        <w:rPr>
          <w:i/>
          <w:iCs/>
          <w:sz w:val="20"/>
          <w:szCs w:val="16"/>
        </w:rPr>
        <w:t>Variables</w:t>
      </w:r>
      <w:r w:rsidR="0062402C">
        <w:rPr>
          <w:i/>
          <w:iCs/>
          <w:sz w:val="20"/>
          <w:szCs w:val="16"/>
        </w:rPr>
        <w:t xml:space="preserve"> are expressed</w:t>
      </w:r>
      <w:r w:rsidRPr="00B50338">
        <w:rPr>
          <w:i/>
          <w:iCs/>
          <w:sz w:val="20"/>
          <w:szCs w:val="16"/>
        </w:rPr>
        <w:t xml:space="preserve"> </w:t>
      </w:r>
      <w:r w:rsidR="0062402C">
        <w:rPr>
          <w:i/>
          <w:iCs/>
          <w:sz w:val="20"/>
          <w:szCs w:val="16"/>
        </w:rPr>
        <w:t xml:space="preserve">as </w:t>
      </w:r>
      <w:r w:rsidRPr="00B50338">
        <w:rPr>
          <w:i/>
          <w:iCs/>
          <w:sz w:val="20"/>
          <w:szCs w:val="16"/>
        </w:rPr>
        <w:t>deviation</w:t>
      </w:r>
      <w:r w:rsidR="0062402C">
        <w:rPr>
          <w:i/>
          <w:iCs/>
          <w:sz w:val="20"/>
          <w:szCs w:val="16"/>
        </w:rPr>
        <w:t>s</w:t>
      </w:r>
      <w:r w:rsidRPr="00B50338">
        <w:rPr>
          <w:i/>
          <w:iCs/>
          <w:sz w:val="20"/>
          <w:szCs w:val="16"/>
        </w:rPr>
        <w:t xml:space="preserve"> from </w:t>
      </w:r>
      <w:r w:rsidR="0062402C">
        <w:rPr>
          <w:i/>
          <w:iCs/>
          <w:sz w:val="20"/>
          <w:szCs w:val="16"/>
        </w:rPr>
        <w:t>their steady state values and include</w:t>
      </w:r>
      <w:r w:rsidRPr="00B50338">
        <w:rPr>
          <w:i/>
          <w:iCs/>
          <w:sz w:val="20"/>
          <w:szCs w:val="16"/>
        </w:rPr>
        <w:t xml:space="preserve">: output, inflation, real central bank interest rate, investment </w:t>
      </w:r>
      <w:r w:rsidR="00C21049">
        <w:rPr>
          <w:i/>
          <w:iCs/>
          <w:sz w:val="20"/>
          <w:szCs w:val="16"/>
        </w:rPr>
        <w:t>in dwellings</w:t>
      </w:r>
      <w:r w:rsidRPr="00B50338">
        <w:rPr>
          <w:i/>
          <w:iCs/>
          <w:sz w:val="20"/>
          <w:szCs w:val="16"/>
        </w:rPr>
        <w:t xml:space="preserve">, ownership by unconstrained households, renting by unconstrained households, consumption by unconstrained households, </w:t>
      </w:r>
      <w:r w:rsidRPr="00B50338">
        <w:rPr>
          <w:i/>
          <w:iCs/>
          <w:sz w:val="20"/>
          <w:szCs w:val="16"/>
          <w:lang w:bidi="he-IL"/>
        </w:rPr>
        <w:t xml:space="preserve">stock of debt, </w:t>
      </w:r>
      <w:r w:rsidRPr="00B50338">
        <w:rPr>
          <w:i/>
          <w:iCs/>
          <w:sz w:val="20"/>
          <w:szCs w:val="16"/>
        </w:rPr>
        <w:t xml:space="preserve">ownership by constrained households, renting by constrained households, consumption by constrained households, new debt, </w:t>
      </w:r>
      <w:r w:rsidRPr="00B50338">
        <w:rPr>
          <w:i/>
          <w:iCs/>
          <w:sz w:val="20"/>
          <w:szCs w:val="16"/>
          <w:lang w:bidi="he-IL"/>
        </w:rPr>
        <w:t xml:space="preserve">nominal and real rent prices, real home prices and rent-to-home price ratio. The y-axes </w:t>
      </w:r>
      <w:r w:rsidR="0062402C">
        <w:rPr>
          <w:i/>
          <w:iCs/>
          <w:sz w:val="20"/>
          <w:szCs w:val="16"/>
          <w:lang w:bidi="he-IL"/>
        </w:rPr>
        <w:t xml:space="preserve">represent the </w:t>
      </w:r>
      <w:r w:rsidRPr="00B50338">
        <w:rPr>
          <w:i/>
          <w:iCs/>
          <w:sz w:val="20"/>
          <w:szCs w:val="16"/>
          <w:lang w:bidi="he-IL"/>
        </w:rPr>
        <w:t>percent deviation of each variable from its steady state in annualized terms, except for inflation and interest rates, which are</w:t>
      </w:r>
      <w:r w:rsidR="0062402C">
        <w:rPr>
          <w:i/>
          <w:iCs/>
          <w:sz w:val="20"/>
          <w:szCs w:val="16"/>
          <w:lang w:bidi="he-IL"/>
        </w:rPr>
        <w:t xml:space="preserve"> shown as</w:t>
      </w:r>
      <w:r w:rsidRPr="00B50338">
        <w:rPr>
          <w:i/>
          <w:iCs/>
          <w:sz w:val="20"/>
          <w:szCs w:val="16"/>
          <w:lang w:bidi="he-IL"/>
        </w:rPr>
        <w:t xml:space="preserve"> percentage point deviations.</w:t>
      </w:r>
    </w:p>
    <w:p w14:paraId="156EE16A" w14:textId="77777777" w:rsidR="009A1EDD" w:rsidRDefault="001A66DC" w:rsidP="00AF7AA1">
      <w:pPr>
        <w:pStyle w:val="Heading2"/>
      </w:pPr>
      <w:r w:rsidRPr="004B1DB2">
        <w:t xml:space="preserve">The </w:t>
      </w:r>
      <w:r w:rsidR="00DF3788">
        <w:t>effectiveness</w:t>
      </w:r>
      <w:r w:rsidR="00DF3788" w:rsidRPr="004B1DB2">
        <w:t xml:space="preserve"> </w:t>
      </w:r>
      <w:r w:rsidRPr="004B1DB2">
        <w:t xml:space="preserve">of monetary </w:t>
      </w:r>
      <w:r w:rsidR="001414E3">
        <w:t xml:space="preserve">policy </w:t>
      </w:r>
      <w:r w:rsidR="00DF3788">
        <w:t xml:space="preserve">under different </w:t>
      </w:r>
      <w:r w:rsidR="00AF7AA1">
        <w:t xml:space="preserve">levels </w:t>
      </w:r>
      <w:r w:rsidR="00DF3788">
        <w:t xml:space="preserve">of </w:t>
      </w:r>
      <w:r w:rsidR="006C519C" w:rsidRPr="004B1DB2">
        <w:t>macroprudential</w:t>
      </w:r>
      <w:r w:rsidRPr="004B1DB2">
        <w:t xml:space="preserve"> polic</w:t>
      </w:r>
      <w:r w:rsidR="001414E3">
        <w:t>y</w:t>
      </w:r>
      <w:r w:rsidR="00AF7AA1">
        <w:t xml:space="preserve"> tightness</w:t>
      </w:r>
    </w:p>
    <w:p w14:paraId="59CA5408" w14:textId="7881D940" w:rsidR="0042612F" w:rsidRDefault="001A66DC" w:rsidP="000830EE">
      <w:pPr>
        <w:pStyle w:val="BodyText"/>
      </w:pPr>
      <w:r>
        <w:t>An</w:t>
      </w:r>
      <w:r w:rsidR="00133895">
        <w:t xml:space="preserve"> interesting question is whether monetary policy</w:t>
      </w:r>
      <w:r w:rsidR="00AF7AA1">
        <w:t>’s effectiveness in</w:t>
      </w:r>
      <w:r w:rsidR="00133895">
        <w:t xml:space="preserve"> </w:t>
      </w:r>
      <w:r w:rsidR="006B069A">
        <w:t>achieving</w:t>
      </w:r>
      <w:r w:rsidR="00133895">
        <w:t xml:space="preserve"> price stability and </w:t>
      </w:r>
      <w:r w:rsidR="00AF7AA1">
        <w:t>support</w:t>
      </w:r>
      <w:r w:rsidR="00133895">
        <w:t xml:space="preserve">ing real activity </w:t>
      </w:r>
      <w:r w:rsidR="00E95874">
        <w:t>is affected</w:t>
      </w:r>
      <w:r w:rsidR="007C35E1">
        <w:t xml:space="preserve"> by</w:t>
      </w:r>
      <w:r w:rsidR="00E95874">
        <w:t xml:space="preserve"> the tightness of macroprudential policy</w:t>
      </w:r>
      <w:r w:rsidR="00841173">
        <w:t>.</w:t>
      </w:r>
      <w:r w:rsidR="00A14D02">
        <w:t xml:space="preserve"> </w:t>
      </w:r>
      <w:r w:rsidR="009C5337">
        <w:rPr>
          <w:rStyle w:val="ui-provider"/>
        </w:rPr>
        <w:t xml:space="preserve">This question is directly related to the debate on the coordination of monetary and macroprudential policies (see, e.g., </w:t>
      </w:r>
      <w:r w:rsidR="007656B7" w:rsidRPr="00401F88">
        <w:rPr>
          <w:rFonts w:asciiTheme="majorHAnsi" w:hAnsiTheme="majorHAnsi" w:cs="David"/>
          <w:color w:val="0081AD"/>
          <w:lang w:bidi="he-IL"/>
        </w:rPr>
        <w:fldChar w:fldCharType="begin"/>
      </w:r>
      <w:r w:rsidR="00EC7FDA">
        <w:rPr>
          <w:rFonts w:asciiTheme="majorHAnsi" w:hAnsiTheme="majorHAnsi" w:cs="David"/>
          <w:color w:val="0081AD"/>
          <w:lang w:bidi="he-IL"/>
        </w:rPr>
        <w:instrText xml:space="preserve"> ADDIN ZOTERO_ITEM CSL_CITATION {"citationID":"Vjr20LDs","properties":{"formattedCitation":"Malovan\\uc0\\u225{} et al. (2023)","plainCitation":"Malovaná et al. (2023)","noteIndex":0},"citationItems":[{"id":3589,"uris":["http://zotero.org/users/6680486/items/I4GJCLFK"],"itemData":{"id":3589,"type":"article-journal","abstract":"We surveyed experts from academia, central banks, and other regulatory institutions on the preferred institutional setup of macroprudential policy and the underlying interactions stemming from the conduct of monetary and macroprudential policy. We find substantial support for the integration setup, under which macroprudential policy is entrusted to the central bank and not to a separate institution. The most significant factors driving the respondents’ views are the large degree of interdependence of the two policies, the potential information gains from keeping them ‘‘under one roof’’, and a greater capability to resolve strategic conflicts. We identify non-negligible heterogeneity in the responses, especially in terms of respondents’ experience, expertise, and position.","citation-key":"malovanaMacroprudentialPolicyCentral2023","container-title":"Journal of Financial Stability","DOI":"10.1016/j.jfs.2023.101107","ISSN":"15723089","journalAbbreviation":"Journal of Financial Stability","language":"en","page":"101107","source":"DOI.org (Crossref)","title":"Macroprudential policy in central banks: Integrated or separate? Survey among academics and central bankers","title-short":"Macroprudential policy in central banks","volume":"65","author":[{"family":"Malovaná","given":"Simona"},{"family":"Hodula","given":"Martin"},{"family":"Gric","given":"Zuzana"},{"family":"Bajzík","given":"Josef"}],"issued":{"date-parts":[["2023",4]]}}}],"schema":"https://github.com/citation-style-language/schema/raw/master/csl-citation.json"} </w:instrText>
      </w:r>
      <w:r w:rsidR="007656B7" w:rsidRPr="00401F88">
        <w:rPr>
          <w:rFonts w:asciiTheme="majorHAnsi" w:hAnsiTheme="majorHAnsi" w:cs="David"/>
          <w:color w:val="0081AD"/>
          <w:lang w:bidi="he-IL"/>
        </w:rPr>
        <w:fldChar w:fldCharType="separate"/>
      </w:r>
      <w:r w:rsidR="00EC7FDA" w:rsidRPr="00E26A26">
        <w:rPr>
          <w:rFonts w:asciiTheme="majorHAnsi" w:hAnsiTheme="majorHAnsi" w:cs="David"/>
          <w:color w:val="0081AD"/>
          <w:lang w:bidi="he-IL"/>
        </w:rPr>
        <w:t>Malovaná et al. (2023)</w:t>
      </w:r>
      <w:r w:rsidR="007656B7" w:rsidRPr="00401F88">
        <w:rPr>
          <w:rFonts w:asciiTheme="majorHAnsi" w:hAnsiTheme="majorHAnsi" w:cs="David"/>
          <w:color w:val="0081AD"/>
          <w:lang w:bidi="he-IL"/>
        </w:rPr>
        <w:fldChar w:fldCharType="end"/>
      </w:r>
      <w:r w:rsidR="009C5337">
        <w:rPr>
          <w:rStyle w:val="ui-provider"/>
        </w:rPr>
        <w:t>).</w:t>
      </w:r>
      <w:r w:rsidR="009C5337">
        <w:t xml:space="preserve"> </w:t>
      </w:r>
      <w:r w:rsidR="00D67C32" w:rsidRPr="007813C6">
        <w:t xml:space="preserve">To investigate this </w:t>
      </w:r>
      <w:r w:rsidR="00537E18">
        <w:t>question</w:t>
      </w:r>
      <w:r w:rsidR="00537E18" w:rsidRPr="00E63D32">
        <w:t>, we conduct</w:t>
      </w:r>
      <w:r w:rsidR="00D67C32" w:rsidRPr="007813C6">
        <w:t xml:space="preserve"> a</w:t>
      </w:r>
      <w:r w:rsidR="00537E18" w:rsidRPr="00E63D32">
        <w:t xml:space="preserve">n experiment </w:t>
      </w:r>
      <w:r w:rsidR="00166232">
        <w:t>by</w:t>
      </w:r>
      <w:r w:rsidR="00166232" w:rsidRPr="00E63D32">
        <w:t xml:space="preserve"> </w:t>
      </w:r>
      <w:r w:rsidR="00166232">
        <w:t>i</w:t>
      </w:r>
      <w:r w:rsidR="00537E18" w:rsidRPr="00E63D32">
        <w:t>ntroduc</w:t>
      </w:r>
      <w:r w:rsidR="00166232">
        <w:t>ing</w:t>
      </w:r>
      <w:r w:rsidR="00D67C32" w:rsidRPr="007813C6">
        <w:t xml:space="preserve"> a monetary policy shock under two different </w:t>
      </w:r>
      <w:r>
        <w:t>regulations</w:t>
      </w:r>
      <w:r w:rsidR="00D67C32" w:rsidRPr="007813C6">
        <w:t xml:space="preserve">: </w:t>
      </w:r>
      <w:r w:rsidR="00166232">
        <w:t>(</w:t>
      </w:r>
      <w:r w:rsidR="0025364C">
        <w:t xml:space="preserve">a) </w:t>
      </w:r>
      <w:r w:rsidR="00D67C32" w:rsidRPr="007813C6">
        <w:t xml:space="preserve">a baseline </w:t>
      </w:r>
      <w:r w:rsidRPr="007813C6">
        <w:t xml:space="preserve">LTV </w:t>
      </w:r>
      <w:r w:rsidR="00D67C32" w:rsidRPr="007813C6">
        <w:t>ratio of 6</w:t>
      </w:r>
      <w:r w:rsidR="003B4CB3">
        <w:t>6</w:t>
      </w:r>
      <w:r w:rsidR="00D67C32" w:rsidRPr="007813C6">
        <w:t>%</w:t>
      </w:r>
      <w:r w:rsidR="0025364C">
        <w:t xml:space="preserve"> </w:t>
      </w:r>
      <w:r w:rsidR="00E16421">
        <w:t xml:space="preserve">in the steady-state </w:t>
      </w:r>
      <w:r w:rsidR="0025364C">
        <w:t>(as analyzed above)</w:t>
      </w:r>
      <w:r w:rsidR="00D67C32" w:rsidRPr="007813C6">
        <w:t xml:space="preserve"> and </w:t>
      </w:r>
      <w:r w:rsidR="00166232">
        <w:t>(</w:t>
      </w:r>
      <w:r w:rsidR="0025364C">
        <w:t xml:space="preserve">b) </w:t>
      </w:r>
      <w:r w:rsidR="00D67C32" w:rsidRPr="007813C6">
        <w:t xml:space="preserve">a </w:t>
      </w:r>
      <w:r>
        <w:t>tighter</w:t>
      </w:r>
      <w:r w:rsidR="00D67C32" w:rsidRPr="007813C6">
        <w:t xml:space="preserve"> LTV ratio of 5</w:t>
      </w:r>
      <w:r w:rsidR="003B4CB3">
        <w:t>6</w:t>
      </w:r>
      <w:r w:rsidR="00D67C32" w:rsidRPr="007813C6">
        <w:t>%</w:t>
      </w:r>
      <w:r w:rsidR="00E16421">
        <w:t xml:space="preserve"> in the steady-state</w:t>
      </w:r>
      <w:r w:rsidR="00D67C32" w:rsidRPr="007813C6">
        <w:t>.</w:t>
      </w:r>
      <w:r>
        <w:t xml:space="preserve"> </w:t>
      </w:r>
      <w:r w:rsidR="00CE102C" w:rsidRPr="00CE102C">
        <w:t>The latter represents a policy aimed at maintaining lower leverage in the economy, thereby reducing the severity of financial distress.</w:t>
      </w:r>
      <w:r w:rsidR="006D5B7C">
        <w:t xml:space="preserve"> </w:t>
      </w:r>
    </w:p>
    <w:p w14:paraId="42069D69" w14:textId="0E019136" w:rsidR="00670AFC" w:rsidRPr="008E2B36" w:rsidRDefault="001A66DC" w:rsidP="00AF7AA1">
      <w:pPr>
        <w:pStyle w:val="NormalWeb"/>
        <w:spacing w:line="276" w:lineRule="auto"/>
        <w:jc w:val="both"/>
        <w:rPr>
          <w:rFonts w:asciiTheme="majorHAnsi" w:hAnsiTheme="majorHAnsi"/>
        </w:rPr>
      </w:pPr>
      <w:r w:rsidRPr="008E2B36">
        <w:rPr>
          <w:rFonts w:asciiTheme="majorHAnsi" w:hAnsiTheme="majorHAnsi"/>
        </w:rPr>
        <w:t>Fig</w:t>
      </w:r>
      <w:r w:rsidR="0042612F" w:rsidRPr="008E2B36">
        <w:rPr>
          <w:rFonts w:asciiTheme="majorHAnsi" w:hAnsiTheme="majorHAnsi"/>
        </w:rPr>
        <w:t xml:space="preserve">. </w:t>
      </w:r>
      <w:r w:rsidR="009215BE">
        <w:rPr>
          <w:rFonts w:asciiTheme="majorHAnsi" w:hAnsiTheme="majorHAnsi"/>
        </w:rPr>
        <w:t>4</w:t>
      </w:r>
      <w:r w:rsidRPr="008E2B36">
        <w:rPr>
          <w:rFonts w:asciiTheme="majorHAnsi" w:hAnsiTheme="majorHAnsi"/>
        </w:rPr>
        <w:t xml:space="preserve"> displays the impulses under both scenarios</w:t>
      </w:r>
      <w:r w:rsidR="0001687C" w:rsidRPr="008E2B36">
        <w:rPr>
          <w:rFonts w:asciiTheme="majorHAnsi" w:hAnsiTheme="majorHAnsi"/>
        </w:rPr>
        <w:t xml:space="preserve"> (baseline and tight LTV cap)</w:t>
      </w:r>
      <w:r w:rsidRPr="008E2B36">
        <w:rPr>
          <w:rFonts w:asciiTheme="majorHAnsi" w:hAnsiTheme="majorHAnsi"/>
        </w:rPr>
        <w:t>, and it appears that the impulse</w:t>
      </w:r>
      <w:r w:rsidR="00DA2426" w:rsidRPr="008E2B36">
        <w:rPr>
          <w:rFonts w:asciiTheme="majorHAnsi" w:hAnsiTheme="majorHAnsi"/>
        </w:rPr>
        <w:t xml:space="preserve"> dynamic</w:t>
      </w:r>
      <w:r w:rsidR="00AF7AA1">
        <w:rPr>
          <w:rFonts w:asciiTheme="majorHAnsi" w:hAnsiTheme="majorHAnsi"/>
        </w:rPr>
        <w:t>s</w:t>
      </w:r>
      <w:r w:rsidRPr="008E2B36">
        <w:rPr>
          <w:rFonts w:asciiTheme="majorHAnsi" w:hAnsiTheme="majorHAnsi"/>
        </w:rPr>
        <w:t xml:space="preserve"> of inflation and output </w:t>
      </w:r>
      <w:r w:rsidR="00AF7AA1">
        <w:rPr>
          <w:rFonts w:asciiTheme="majorHAnsi" w:hAnsiTheme="majorHAnsi"/>
        </w:rPr>
        <w:t>are</w:t>
      </w:r>
      <w:r w:rsidR="00AF7AA1" w:rsidRPr="008E2B36">
        <w:rPr>
          <w:rFonts w:asciiTheme="majorHAnsi" w:hAnsiTheme="majorHAnsi"/>
        </w:rPr>
        <w:t xml:space="preserve"> </w:t>
      </w:r>
      <w:r w:rsidR="004B3CE2" w:rsidRPr="008E2B36">
        <w:rPr>
          <w:rFonts w:asciiTheme="majorHAnsi" w:hAnsiTheme="majorHAnsi"/>
        </w:rPr>
        <w:t xml:space="preserve">almost identical in </w:t>
      </w:r>
      <w:r w:rsidR="005F253F" w:rsidRPr="008E2B36">
        <w:rPr>
          <w:rFonts w:asciiTheme="majorHAnsi" w:hAnsiTheme="majorHAnsi"/>
        </w:rPr>
        <w:t>both</w:t>
      </w:r>
      <w:r w:rsidR="004B3CE2" w:rsidRPr="008E2B36">
        <w:rPr>
          <w:rFonts w:asciiTheme="majorHAnsi" w:hAnsiTheme="majorHAnsi"/>
        </w:rPr>
        <w:t xml:space="preserve"> cases</w:t>
      </w:r>
      <w:r w:rsidRPr="008E2B36">
        <w:rPr>
          <w:rFonts w:asciiTheme="majorHAnsi" w:hAnsiTheme="majorHAnsi"/>
        </w:rPr>
        <w:t>.</w:t>
      </w:r>
      <w:r w:rsidR="008343A1" w:rsidRPr="008E2B36">
        <w:rPr>
          <w:rFonts w:asciiTheme="majorHAnsi" w:hAnsiTheme="majorHAnsi"/>
        </w:rPr>
        <w:t xml:space="preserve"> </w:t>
      </w:r>
      <w:r w:rsidR="004B3CE2" w:rsidRPr="008E2B36">
        <w:rPr>
          <w:rFonts w:asciiTheme="majorHAnsi" w:hAnsiTheme="majorHAnsi"/>
          <w:i/>
          <w:iCs/>
        </w:rPr>
        <w:t xml:space="preserve">Thus, we conclude that macroprudential policy, in the </w:t>
      </w:r>
      <w:r w:rsidR="005F253F" w:rsidRPr="008E2B36">
        <w:rPr>
          <w:rFonts w:asciiTheme="majorHAnsi" w:hAnsiTheme="majorHAnsi"/>
          <w:i/>
          <w:iCs/>
        </w:rPr>
        <w:t>form</w:t>
      </w:r>
      <w:r w:rsidR="004B3CE2" w:rsidRPr="008E2B36">
        <w:rPr>
          <w:rFonts w:asciiTheme="majorHAnsi" w:hAnsiTheme="majorHAnsi"/>
          <w:i/>
          <w:iCs/>
        </w:rPr>
        <w:t xml:space="preserve"> of LTV limits, </w:t>
      </w:r>
      <w:r w:rsidR="005F253F" w:rsidRPr="008E2B36">
        <w:rPr>
          <w:rFonts w:asciiTheme="majorHAnsi" w:hAnsiTheme="majorHAnsi"/>
          <w:i/>
          <w:iCs/>
        </w:rPr>
        <w:t>does</w:t>
      </w:r>
      <w:r w:rsidR="004B3CE2" w:rsidRPr="008E2B36">
        <w:rPr>
          <w:rFonts w:asciiTheme="majorHAnsi" w:hAnsiTheme="majorHAnsi"/>
          <w:i/>
          <w:iCs/>
        </w:rPr>
        <w:t xml:space="preserve"> not change the effectiveness of monetary policy</w:t>
      </w:r>
      <w:r w:rsidR="004B3CE2" w:rsidRPr="008E2B36">
        <w:rPr>
          <w:rFonts w:asciiTheme="majorHAnsi" w:hAnsiTheme="majorHAnsi"/>
        </w:rPr>
        <w:t xml:space="preserve">. </w:t>
      </w:r>
    </w:p>
    <w:p w14:paraId="12D18B35" w14:textId="46A08157" w:rsidR="00B71F37" w:rsidRDefault="001A66DC" w:rsidP="00EC7FDA">
      <w:pPr>
        <w:pStyle w:val="BodyText"/>
        <w:rPr>
          <w:rFonts w:asciiTheme="majorHAnsi" w:hAnsiTheme="majorHAnsi"/>
        </w:rPr>
      </w:pPr>
      <w:r w:rsidRPr="008E2B36">
        <w:t xml:space="preserve">These results are consistent with </w:t>
      </w:r>
      <w:r w:rsidR="000830EE" w:rsidRPr="008D099B">
        <w:rPr>
          <w:rFonts w:asciiTheme="majorHAnsi" w:hAnsiTheme="majorHAnsi" w:cs="David"/>
          <w:color w:val="0081AD"/>
          <w:lang w:bidi="he-IL"/>
        </w:rPr>
        <w:fldChar w:fldCharType="begin"/>
      </w:r>
      <w:r w:rsidR="00EC7FDA" w:rsidRPr="008D099B">
        <w:rPr>
          <w:rFonts w:asciiTheme="majorHAnsi" w:hAnsiTheme="majorHAnsi" w:cs="David"/>
          <w:color w:val="0081AD"/>
          <w:lang w:bidi="he-IL"/>
        </w:rPr>
        <w:instrText xml:space="preserve"> ADDIN ZOTERO_ITEM CSL_CITATION {"citationID":"K5gr1uSX","properties":{"formattedCitation":"Funke et al. (2018)","plainCitation":"Funke et al. (2018)","noteIndex":0},"citationItems":[{"id":2603,"uris":["http://zotero.org/users/6680486/items/TCMVMC87"],"itemData":{"id":2603,"type":"article-journal","abstract":"We analyse macroprudential and monetary policies and their interactions using an estimated dynamic stochastic general equilibrium (DSGE) model tailored to New Zealand. Our estimates show that monetary policy has large spillover eﬀects on house prices, however it has not been a major driver of house prices in New Zealand which have instead been driven by sector-speciﬁc shocks. We consider macroprudential policies, including the loan-to-value restrictions that have been implemented in New Zealand. We ﬁnd that loan-to-value restrictions reduce house prices with negligible eﬀects on consumer prices, suggesting they can be used without derailing monetary policy. Eﬃcient policy frontier analysis suggests macroprudential policy is a useful addition to monetary policy, and the two do not need to be coordinated. We estimate that the loan-to-value restrictions imposed in New Zealand in 2013 reduced house prices by 3.8% and that greater forward guidance on their duration would have made them more eﬀective.","citation-key":"funkeHousePricesMacroprudential2018","container-title":"Journal of Macroeconomics","DOI":"10.1016/j.jmacro.2018.01.006","ISSN":"01640704","journalAbbreviation":"Journal of Macroeconomics","language":"en","page":"152-171","source":"DOI.org (Crossref)","title":"House prices and macroprudential policy in an estimated DSGE model of New Zealand","volume":"56","author":[{"family":"Funke","given":"Michael"},{"family":"Kirkby","given":"Robert"},{"family":"Mihaylovski","given":"Petar"}],"issued":{"date-parts":[["2018",6]]}}}],"schema":"https://github.com/citation-style-language/schema/raw/master/csl-citation.json"} </w:instrText>
      </w:r>
      <w:r w:rsidR="000830EE" w:rsidRPr="008D099B">
        <w:rPr>
          <w:rFonts w:asciiTheme="majorHAnsi" w:hAnsiTheme="majorHAnsi" w:cs="David"/>
          <w:color w:val="0081AD"/>
          <w:lang w:bidi="he-IL"/>
        </w:rPr>
        <w:fldChar w:fldCharType="separate"/>
      </w:r>
      <w:r w:rsidR="00EC7FDA" w:rsidRPr="008D099B">
        <w:rPr>
          <w:rFonts w:asciiTheme="majorHAnsi" w:hAnsiTheme="majorHAnsi" w:cs="David"/>
          <w:color w:val="0081AD"/>
          <w:lang w:bidi="he-IL"/>
        </w:rPr>
        <w:t>Funke et al. (2018)</w:t>
      </w:r>
      <w:r w:rsidR="000830EE" w:rsidRPr="008D099B">
        <w:rPr>
          <w:rFonts w:asciiTheme="majorHAnsi" w:hAnsiTheme="majorHAnsi" w:cs="David"/>
          <w:color w:val="0081AD"/>
          <w:lang w:bidi="he-IL"/>
        </w:rPr>
        <w:fldChar w:fldCharType="end"/>
      </w:r>
      <w:r w:rsidR="000830EE" w:rsidRPr="008D099B">
        <w:rPr>
          <w:rFonts w:asciiTheme="majorHAnsi" w:hAnsiTheme="majorHAnsi" w:cs="David"/>
          <w:color w:val="0081AD"/>
          <w:lang w:bidi="he-IL"/>
        </w:rPr>
        <w:t xml:space="preserve"> </w:t>
      </w:r>
      <w:r w:rsidRPr="008E2B36">
        <w:t xml:space="preserve">(Section 4.4.4), despite notable differences in model specifications and housing market assumptions, and with </w:t>
      </w:r>
      <w:r w:rsidR="000830EE" w:rsidRPr="00F95B87">
        <w:rPr>
          <w:rFonts w:asciiTheme="majorHAnsi" w:hAnsiTheme="majorHAnsi" w:cs="David"/>
          <w:color w:val="0081AD"/>
        </w:rPr>
        <w:fldChar w:fldCharType="begin"/>
      </w:r>
      <w:r w:rsidR="00EC7FDA">
        <w:rPr>
          <w:rFonts w:asciiTheme="majorHAnsi" w:hAnsiTheme="majorHAnsi" w:cs="David"/>
          <w:color w:val="0081AD"/>
          <w:lang w:bidi="he-IL"/>
        </w:rPr>
        <w:instrText xml:space="preserve"> ADDIN ZOTERO_ITEM CSL_CITATION {"citationID":"0mOZP0GG","properties":{"formattedCitation":"Cozzi et al. (2021)","plainCitation":"Cozzi et al. (2021)","noteIndex":0},"citationItems":[{"id":2069,"uris":["http://zotero.org/users/6680486/items/BKE5ZHMJ"],"itemData":{"id":2069,"type":"article","citation-key":"cozziMacroprudentialPolicyMeasures2021","collection-number":"2376","collection-title":"ECB Working Paper Series","DOI":"10.2139/ssrn.3541732","language":"en","source":"DOI.org (Crossref)","title":"Macroprudential Policy Measures: Macroeconomic Impact and Interaction with Monetary Policy","title-short":"Macroprudential Policy Measures","URL":"https://www.ssrn.com/abstract=3541732","author":[{"family":"Cozzi","given":"Guido"},{"family":"Darracq Paries","given":"Matthieu"},{"family":"Karadi","given":"Peter"},{"family":"Körner","given":"Jenny"},{"family":"Kok","given":"Christoffer"},{"family":"Mazelis","given":"Falk"},{"family":"Nikolov","given":"Kalin"},{"family":"Rancoita","given":"Elena"},{"family":"Van Der Ghote","given":"Alejandro"},{"family":"Weber","given":"Julien"}],"accessed":{"date-parts":[["2023",8,9]]},"issued":{"date-parts":[["2021",6]]}}}],"schema":"https://github.com/citation-style-language/schema/raw/master/csl-citation.json"} </w:instrText>
      </w:r>
      <w:r w:rsidR="000830EE" w:rsidRPr="00F95B87">
        <w:rPr>
          <w:rFonts w:asciiTheme="majorHAnsi" w:hAnsiTheme="majorHAnsi" w:cs="David"/>
          <w:color w:val="0081AD"/>
        </w:rPr>
        <w:fldChar w:fldCharType="separate"/>
      </w:r>
      <w:r w:rsidR="00EC7FDA" w:rsidRPr="00284C29">
        <w:rPr>
          <w:rFonts w:asciiTheme="majorHAnsi" w:hAnsiTheme="majorHAnsi" w:cs="David"/>
          <w:color w:val="0081AD"/>
          <w:lang w:bidi="he-IL"/>
        </w:rPr>
        <w:t>Cozzi et al. (2021)</w:t>
      </w:r>
      <w:r w:rsidR="000830EE" w:rsidRPr="00F95B87">
        <w:rPr>
          <w:rFonts w:asciiTheme="majorHAnsi" w:hAnsiTheme="majorHAnsi" w:cs="David"/>
          <w:color w:val="0081AD"/>
        </w:rPr>
        <w:fldChar w:fldCharType="end"/>
      </w:r>
      <w:r w:rsidRPr="008E2B36">
        <w:t xml:space="preserve"> (Fig. 12), although they considered the leverage ratio of banks rather than households.</w:t>
      </w:r>
      <w:r w:rsidR="009A2706">
        <w:rPr>
          <w:rFonts w:asciiTheme="majorHAnsi" w:hAnsiTheme="majorHAnsi"/>
        </w:rPr>
        <w:t xml:space="preserve"> </w:t>
      </w:r>
    </w:p>
    <w:p w14:paraId="0BD61D5D" w14:textId="60104AFB" w:rsidR="008A58A0" w:rsidRPr="008E2B36" w:rsidRDefault="001A66DC" w:rsidP="00AE1B78">
      <w:pPr>
        <w:pStyle w:val="BodyText"/>
        <w:rPr>
          <w:rFonts w:asciiTheme="majorHAnsi" w:hAnsiTheme="majorHAnsi"/>
        </w:rPr>
      </w:pPr>
      <w:r w:rsidRPr="008E2B36">
        <w:rPr>
          <w:rFonts w:asciiTheme="majorHAnsi" w:hAnsiTheme="majorHAnsi"/>
        </w:rPr>
        <w:t xml:space="preserve">Fig. </w:t>
      </w:r>
      <w:r w:rsidR="009215BE">
        <w:rPr>
          <w:rFonts w:asciiTheme="majorHAnsi" w:hAnsiTheme="majorHAnsi"/>
        </w:rPr>
        <w:t>4</w:t>
      </w:r>
      <w:r w:rsidRPr="008E2B36">
        <w:rPr>
          <w:rFonts w:asciiTheme="majorHAnsi" w:hAnsiTheme="majorHAnsi"/>
        </w:rPr>
        <w:t xml:space="preserve"> </w:t>
      </w:r>
      <w:r>
        <w:rPr>
          <w:rFonts w:asciiTheme="majorHAnsi" w:hAnsiTheme="majorHAnsi"/>
        </w:rPr>
        <w:t>also shows that t</w:t>
      </w:r>
      <w:r w:rsidRPr="008E2B36">
        <w:rPr>
          <w:rFonts w:asciiTheme="majorHAnsi" w:hAnsiTheme="majorHAnsi"/>
        </w:rPr>
        <w:t>here is almost no difference in the reaction of unconstrained households</w:t>
      </w:r>
      <w:r w:rsidR="00574215">
        <w:rPr>
          <w:rFonts w:asciiTheme="majorHAnsi" w:hAnsiTheme="majorHAnsi"/>
        </w:rPr>
        <w:t xml:space="preserve"> (lenders)</w:t>
      </w:r>
      <w:r w:rsidRPr="008E2B36">
        <w:rPr>
          <w:rFonts w:asciiTheme="majorHAnsi" w:hAnsiTheme="majorHAnsi"/>
        </w:rPr>
        <w:t xml:space="preserve"> to the two levels of the LTV cap. </w:t>
      </w:r>
      <w:r w:rsidR="00AF7AA1">
        <w:rPr>
          <w:rFonts w:asciiTheme="majorHAnsi" w:hAnsiTheme="majorHAnsi"/>
        </w:rPr>
        <w:t>This is true of both</w:t>
      </w:r>
      <w:r w:rsidRPr="008E2B36">
        <w:rPr>
          <w:rFonts w:asciiTheme="majorHAnsi" w:hAnsiTheme="majorHAnsi"/>
        </w:rPr>
        <w:t xml:space="preserve"> </w:t>
      </w:r>
      <w:r w:rsidR="00D97B4C">
        <w:rPr>
          <w:rFonts w:asciiTheme="majorHAnsi" w:hAnsiTheme="majorHAnsi"/>
        </w:rPr>
        <w:t>ho</w:t>
      </w:r>
      <w:r w:rsidR="00AF7AA1">
        <w:rPr>
          <w:rFonts w:asciiTheme="majorHAnsi" w:hAnsiTheme="majorHAnsi"/>
        </w:rPr>
        <w:t>me</w:t>
      </w:r>
      <w:r w:rsidRPr="008E2B36">
        <w:rPr>
          <w:rFonts w:asciiTheme="majorHAnsi" w:hAnsiTheme="majorHAnsi"/>
        </w:rPr>
        <w:t xml:space="preserve"> prices and rent prices.</w:t>
      </w:r>
    </w:p>
    <w:p w14:paraId="1E4761FB" w14:textId="07C54BD9" w:rsidR="00B616FF" w:rsidRPr="00847446" w:rsidRDefault="00B616FF" w:rsidP="009215BE">
      <w:pPr>
        <w:pStyle w:val="BodyText"/>
        <w:rPr>
          <w:rtl/>
          <w:lang w:bidi="he-IL"/>
        </w:rPr>
      </w:pPr>
      <w:bookmarkStart w:id="32" w:name="OLE_LINK26"/>
      <w:r w:rsidRPr="00B616FF">
        <w:rPr>
          <w:lang w:bidi="he-IL"/>
        </w:rPr>
        <w:t>Constrained households (borrowers) respond differently to changes in the loan-to-value (LTV) cap</w:t>
      </w:r>
      <w:r w:rsidR="00C55FA2">
        <w:rPr>
          <w:lang w:bidi="he-IL"/>
        </w:rPr>
        <w:t xml:space="preserve"> (</w:t>
      </w:r>
      <w:r w:rsidR="009B5A1A">
        <w:rPr>
          <w:lang w:bidi="he-IL"/>
        </w:rPr>
        <w:t xml:space="preserve">see </w:t>
      </w:r>
      <w:r w:rsidR="00C55FA2">
        <w:rPr>
          <w:lang w:bidi="he-IL"/>
        </w:rPr>
        <w:t>Fi</w:t>
      </w:r>
      <w:r w:rsidR="009B5A1A">
        <w:rPr>
          <w:lang w:bidi="he-IL"/>
        </w:rPr>
        <w:t>gure</w:t>
      </w:r>
      <w:r w:rsidR="00C55FA2">
        <w:rPr>
          <w:lang w:bidi="he-IL"/>
        </w:rPr>
        <w:t xml:space="preserve"> 4)</w:t>
      </w:r>
      <w:r w:rsidRPr="00B616FF">
        <w:rPr>
          <w:lang w:bidi="he-IL"/>
        </w:rPr>
        <w:t xml:space="preserve">. Under a tighter LTV cap, the steady-state debt stock is lower—specifically, about 24% lower, as discussed later. This lower initial level of indebtedness reduces the sensitivity of borrowers to interest rate increases. When macroprudential policy is tight (LTV cap of 56%), interest payments remain relatively manageable. In contrast, with a higher LTV cap (66%), borrowers enter with greater leverage, and the resulting rise in interest rates can trigger substantial deleveraging. Consequently, under the tighter LTV cap, constrained households experience a milder </w:t>
      </w:r>
      <w:r w:rsidRPr="00B616FF">
        <w:rPr>
          <w:lang w:bidi="he-IL"/>
        </w:rPr>
        <w:lastRenderedPageBreak/>
        <w:t>decline in consumption, a smaller reduction in homeownership, and less pronounced deleveraging compared to the scenario with a higher LTV cap.</w:t>
      </w:r>
    </w:p>
    <w:bookmarkEnd w:id="32"/>
    <w:p w14:paraId="72CADB87" w14:textId="37A4462C" w:rsidR="00D77F2F" w:rsidRDefault="00D77F2F" w:rsidP="00217BCE">
      <w:pPr>
        <w:pStyle w:val="BodyText"/>
      </w:pPr>
      <w:r w:rsidRPr="00D77F2F">
        <w:t>In addition to differences in debt levels (the intensive margin), a lower LTV cap may also reduce the share of borrowers (the extensive margin), as mortgages become less affordable. Using Israeli data, we estimate the corresponding decline in the share of borrowers (see</w:t>
      </w:r>
      <w:r w:rsidR="00217BCE">
        <w:t xml:space="preserve"> </w:t>
      </w:r>
      <w:r w:rsidR="00217BCE" w:rsidRPr="00217BCE">
        <w:rPr>
          <w:color w:val="0081AD"/>
        </w:rPr>
        <w:fldChar w:fldCharType="begin"/>
      </w:r>
      <w:r w:rsidR="00217BCE" w:rsidRPr="00217BCE">
        <w:rPr>
          <w:color w:val="0081AD"/>
        </w:rPr>
        <w:instrText xml:space="preserve"> ADDIN ZOTERO_ITEM CSL_CITATION {"citationID":"AdLnmUyv","properties":{"unsorted":false,"formattedCitation":"Cohen and Ilek (2024)","plainCitation":"Cohen and Ilek (2024)","noteIndex":0},"citationItems":[{"id":1561,"uris":["http://zotero.org/users/6680486/items/MXHTM5XU"],"itemData":{"id":1561,"type":"manuscript","citation-key":"cohenEstimateShareFinancially2024","genre":"Unpublished Memo","language":"hebrew","note":"</w:instrText>
      </w:r>
      <w:r w:rsidR="00217BCE" w:rsidRPr="00217BCE">
        <w:rPr>
          <w:rFonts w:hint="cs"/>
          <w:color w:val="0081AD"/>
          <w:rtl/>
          <w:lang w:bidi="he-IL"/>
        </w:rPr>
        <w:instrText>משקי</w:instrText>
      </w:r>
      <w:r w:rsidR="00217BCE" w:rsidRPr="00217BCE">
        <w:rPr>
          <w:color w:val="0081AD"/>
          <w:rtl/>
          <w:lang w:bidi="he-IL"/>
        </w:rPr>
        <w:instrText xml:space="preserve"> </w:instrText>
      </w:r>
      <w:r w:rsidR="00217BCE" w:rsidRPr="00217BCE">
        <w:rPr>
          <w:rFonts w:hint="cs"/>
          <w:color w:val="0081AD"/>
          <w:rtl/>
          <w:lang w:bidi="he-IL"/>
        </w:rPr>
        <w:instrText>בית</w:instrText>
      </w:r>
      <w:r w:rsidR="00217BCE" w:rsidRPr="00217BCE">
        <w:rPr>
          <w:color w:val="0081AD"/>
          <w:rtl/>
          <w:lang w:bidi="he-IL"/>
        </w:rPr>
        <w:instrText xml:space="preserve"> </w:instrText>
      </w:r>
      <w:r w:rsidR="00217BCE" w:rsidRPr="00217BCE">
        <w:rPr>
          <w:rFonts w:hint="cs"/>
          <w:color w:val="0081AD"/>
          <w:rtl/>
          <w:lang w:bidi="he-IL"/>
        </w:rPr>
        <w:instrText>מוגבלים</w:instrText>
      </w:r>
      <w:r w:rsidR="00217BCE" w:rsidRPr="00217BCE">
        <w:rPr>
          <w:color w:val="0081AD"/>
          <w:rtl/>
          <w:lang w:bidi="he-IL"/>
        </w:rPr>
        <w:instrText xml:space="preserve"> 13_03_2024</w:instrText>
      </w:r>
      <w:r w:rsidR="00217BCE" w:rsidRPr="00217BCE">
        <w:rPr>
          <w:color w:val="0081AD"/>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00217BCE" w:rsidRPr="00217BCE">
        <w:rPr>
          <w:color w:val="0081AD"/>
        </w:rPr>
        <w:fldChar w:fldCharType="separate"/>
      </w:r>
      <w:r w:rsidR="00217BCE" w:rsidRPr="00217BCE">
        <w:rPr>
          <w:rFonts w:ascii="Utopia" w:hAnsi="Utopia"/>
          <w:color w:val="0081AD"/>
        </w:rPr>
        <w:t>Cohen and Ilek (2024)</w:t>
      </w:r>
      <w:r w:rsidR="00217BCE" w:rsidRPr="00217BCE">
        <w:rPr>
          <w:color w:val="0081AD"/>
        </w:rPr>
        <w:fldChar w:fldCharType="end"/>
      </w:r>
      <w:r w:rsidRPr="00D77F2F">
        <w:t xml:space="preserve">) and find a reduction of approximately 4 percentage points. However, incorporating this effect does not materially change the impulse responses. The only </w:t>
      </w:r>
      <w:r w:rsidR="00217BCE" w:rsidRPr="00D77F2F">
        <w:t>meaningfully affected equation</w:t>
      </w:r>
      <w:r w:rsidRPr="00D77F2F">
        <w:t xml:space="preserve"> is that of labor composition (see Section 2.4). We therefore conclude that the overall contribution—though minimal—originates primarily from differences in initial debt levels, as previously described.</w:t>
      </w:r>
    </w:p>
    <w:p w14:paraId="483FB6FC" w14:textId="625D54C6" w:rsidR="00750D08" w:rsidRDefault="00750D08" w:rsidP="003042B8">
      <w:pPr>
        <w:bidi w:val="0"/>
        <w:spacing w:before="100" w:beforeAutospacing="1" w:after="100" w:afterAutospacing="1"/>
        <w:jc w:val="both"/>
        <w:rPr>
          <w:sz w:val="24"/>
          <w:szCs w:val="24"/>
          <w:lang w:bidi="ar-SA"/>
        </w:rPr>
      </w:pPr>
      <w:r w:rsidRPr="00750D08">
        <w:rPr>
          <w:sz w:val="24"/>
          <w:szCs w:val="24"/>
          <w:lang w:bidi="ar-SA"/>
        </w:rPr>
        <w:t>We conjecture that the primary reason for the limited sensitivity of output (which largely corresponds to the sum of non-housing consumption by the two household types), inflation, and other key variables to monetary policy across different LTV ratios lies in the separability of the utility function between consumption and housing. This separability implies that the marginal utility of non-housing consumption is not directly influenced by the amount of housing consumed, whether through ownership or rent. For borrowers, this feature is particularly important: following a positive monetary policy shock, their housing demand varies substantially across LTV ratios (see Figure 4). If the utility function were non-separable, changes in housing demand would have translated into more pronounced adjustments in non-housing consumption</w:t>
      </w:r>
      <w:r w:rsidR="003042B8">
        <w:rPr>
          <w:sz w:val="24"/>
          <w:szCs w:val="24"/>
          <w:lang w:bidi="ar-SA"/>
        </w:rPr>
        <w:t>.</w:t>
      </w:r>
    </w:p>
    <w:p w14:paraId="318A1948" w14:textId="034A0EBF" w:rsidR="009C3D7D" w:rsidRDefault="009C3D7D" w:rsidP="009C3D7D">
      <w:pPr>
        <w:bidi w:val="0"/>
        <w:spacing w:before="100" w:beforeAutospacing="1" w:after="100" w:afterAutospacing="1"/>
        <w:jc w:val="both"/>
        <w:rPr>
          <w:sz w:val="24"/>
          <w:szCs w:val="24"/>
          <w:lang w:bidi="ar-SA"/>
        </w:rPr>
      </w:pPr>
      <w:r w:rsidRPr="009C3D7D">
        <w:rPr>
          <w:sz w:val="24"/>
          <w:szCs w:val="24"/>
          <w:lang w:bidi="ar-SA"/>
        </w:rPr>
        <w:t xml:space="preserve">The limited sensitivity of monetary policy effectiveness to different LTV ratios in the steady state may stem from the model’s linearity, which is based on </w:t>
      </w:r>
      <w:r w:rsidR="00217BCE" w:rsidRPr="009C3D7D">
        <w:rPr>
          <w:sz w:val="24"/>
          <w:szCs w:val="24"/>
          <w:lang w:bidi="ar-SA"/>
        </w:rPr>
        <w:t>first</w:t>
      </w:r>
      <w:r w:rsidRPr="009C3D7D">
        <w:rPr>
          <w:sz w:val="24"/>
          <w:szCs w:val="24"/>
          <w:lang w:bidi="ar-SA"/>
        </w:rPr>
        <w:t>-order Taylor approximation. To assess this possibility, we re-solve the model using a second-order Taylor approximation and find that the result remains robust.</w:t>
      </w:r>
    </w:p>
    <w:p w14:paraId="409EE374" w14:textId="0400CCEB" w:rsidR="001E63F5" w:rsidRDefault="00CF63C4" w:rsidP="00CF63C4">
      <w:pPr>
        <w:pStyle w:val="Heading2"/>
      </w:pPr>
      <w:r w:rsidRPr="00CF63C4">
        <w:t>Monetary Policy Effectiveness under Fixed-Rate and Variable-Rate Mortgage Regimes</w:t>
      </w:r>
    </w:p>
    <w:p w14:paraId="536B6DC5" w14:textId="4D7907BD" w:rsidR="002A2FC0" w:rsidRDefault="00D956BE" w:rsidP="006637BA">
      <w:pPr>
        <w:pStyle w:val="BodyText"/>
      </w:pPr>
      <w:r w:rsidRPr="00D956BE">
        <w:t xml:space="preserve">In the previous section, we analyzed the impact of different LTV caps on the effectiveness of monetary policy. We now </w:t>
      </w:r>
      <w:r w:rsidR="00217BCE" w:rsidRPr="00D956BE">
        <w:t>try</w:t>
      </w:r>
      <w:r w:rsidRPr="00D956BE">
        <w:t xml:space="preserve"> to examine how monetary policy effectiveness differs under fixed-rate and variable-rate mortgage structures. </w:t>
      </w:r>
      <w:r w:rsidR="006637BA" w:rsidRPr="006637BA">
        <w:t>This analysis is important because limiting the share of variable-rate mortgages serves as an additional macroprudential policy tool that, beyond its standard objectives (e.g., reducing default risk and strengthening the resilience of the banking system, as discussed in Section 2), may also affect the effectiveness of monetary policy.</w:t>
      </w:r>
    </w:p>
    <w:p w14:paraId="15D19E29" w14:textId="150BB186" w:rsidR="009215BE" w:rsidRPr="00503A13" w:rsidRDefault="00503A13" w:rsidP="00503A13">
      <w:pPr>
        <w:pStyle w:val="BodyText"/>
      </w:pPr>
      <w:r w:rsidRPr="00503A13">
        <w:lastRenderedPageBreak/>
        <w:t>Figure 5 presents the effects of monetary policy under two distinct scenarios: one in which all mortgages carry a fixed interest rate, and another in which all mortgages have a variable interest rate. Both cases assume identical loan-to-value ratios and maturities. This comparative analysis aims to elucidate how the transmission mechanism varies between these scenarios. Furthermore, it considers potential outcomes in practical settings when adjustments are made to the proportion of variable rate mortgages held by typical households, as referenced in the introduction</w:t>
      </w:r>
      <w:r w:rsidR="00E3218A">
        <w:t xml:space="preserve"> (Section 1)</w:t>
      </w:r>
      <w:r w:rsidRPr="00503A13">
        <w:t>.</w:t>
      </w:r>
    </w:p>
    <w:p w14:paraId="45143CFB" w14:textId="4395E80A" w:rsidR="00DC0CC7" w:rsidRDefault="00DC0CC7" w:rsidP="00DC0CC7">
      <w:pPr>
        <w:pStyle w:val="BodyText"/>
      </w:pPr>
      <w:r w:rsidRPr="00DC0CC7">
        <w:t>To begin with, the variation in mortgage interest rate types does not significantly alter the transmission of monetary policy to the broader economy. Aggregate activity</w:t>
      </w:r>
      <w:r>
        <w:t xml:space="preserve"> </w:t>
      </w:r>
      <w:r w:rsidRPr="00227729">
        <w:t>(</w:t>
      </w:r>
      <m:oMath>
        <m:r>
          <w:rPr>
            <w:rFonts w:ascii="Cambria Math" w:hAnsi="Cambria Math"/>
          </w:rPr>
          <m:t>Y</m:t>
        </m:r>
      </m:oMath>
      <w:r w:rsidRPr="00227729">
        <w:t xml:space="preserve">) </w:t>
      </w:r>
      <w:r w:rsidRPr="00DC0CC7">
        <w:t xml:space="preserve">and inflation </w:t>
      </w:r>
      <w:r w:rsidRPr="00227729">
        <w:t>(</w:t>
      </w:r>
      <m:oMath>
        <m:r>
          <w:rPr>
            <w:rFonts w:ascii="Cambria Math" w:hAnsi="Cambria Math" w:cs="Calibri"/>
          </w:rPr>
          <m:t>π</m:t>
        </m:r>
      </m:oMath>
      <w:r w:rsidRPr="00227729">
        <w:t xml:space="preserve">) </w:t>
      </w:r>
      <w:r w:rsidRPr="00DC0CC7">
        <w:t>respond in a similar manner regardless of the mortgage structure. In other words, the model suggests that reducing the share of variable-rate mortgages does not diminish the central bank’s effectiveness in achieving its primary objectives.</w:t>
      </w:r>
      <w:r w:rsidR="006A508A">
        <w:t xml:space="preserve"> </w:t>
      </w:r>
    </w:p>
    <w:p w14:paraId="135348A5" w14:textId="3A7EBF82" w:rsidR="00EA6037" w:rsidRDefault="00EA6037" w:rsidP="00F238A6">
      <w:pPr>
        <w:pStyle w:val="BodyText"/>
      </w:pPr>
      <w:r w:rsidRPr="00EA6037">
        <w:t xml:space="preserve">The similarity in the response of real activity across the two mortgage interest rate structures arises from the comparable initial reduction in consumption by both household types under each case (blue line versus </w:t>
      </w:r>
      <w:r w:rsidR="00F238A6">
        <w:t>orange</w:t>
      </w:r>
      <w:r w:rsidRPr="00EA6037">
        <w:t xml:space="preserve"> line for each type). Subsequently, however, the lower consumption of borrowers under the variable interest rate scenario is offset by higher consumption among lenders, resulting in a similar overall level of output.</w:t>
      </w:r>
    </w:p>
    <w:p w14:paraId="6CEB4EF0" w14:textId="2E149C27" w:rsidR="004D04C3" w:rsidRDefault="004D04C3" w:rsidP="00E84AB2">
      <w:pPr>
        <w:pStyle w:val="BodyText"/>
      </w:pPr>
      <w:r w:rsidRPr="004D04C3">
        <w:t>However, this distinction becomes particularly important when examining the housing market. As expected, changes in monetary policy are transmitted to mortgage interest rates much more strongly in the case of variable-rate mortgages than in fixed-rate products. Consequently, higher borrowing costs reduce the demand for home ownership among constrained households—an effect that is also reflected in substantial debt deleveraging—which, in turn, negatively affects their overall consumption levels.</w:t>
      </w:r>
      <w:r w:rsidR="00DA049D">
        <w:t xml:space="preserve"> </w:t>
      </w:r>
      <w:r w:rsidR="00E84AB2" w:rsidRPr="00E84AB2">
        <w:t xml:space="preserve">Despite the pronounced debt deleveraging observed in the case of variable-rate mortgages, the response of housing prices remains quite similar (see Figure 5). This outcome arises because housing prices are not directly influenced by borrowers’ debt levels but are instead determined in the market for </w:t>
      </w:r>
      <w:r w:rsidR="00857FAC">
        <w:t xml:space="preserve">unconstrained </w:t>
      </w:r>
      <w:r w:rsidR="00E84AB2" w:rsidRPr="00E84AB2">
        <w:t>investors (see Section 4.2).</w:t>
      </w:r>
    </w:p>
    <w:p w14:paraId="33424C19" w14:textId="36A6AFB4" w:rsidR="00761C59" w:rsidRDefault="009215BE" w:rsidP="003C69D5">
      <w:pPr>
        <w:pStyle w:val="Caption"/>
        <w:rPr>
          <w:rFonts w:ascii="Utopia" w:hAnsi="Utopia"/>
          <w:color w:val="FF0000"/>
        </w:rPr>
      </w:pPr>
      <w:r w:rsidRPr="00AE64AE">
        <w:rPr>
          <w:color w:val="3333B3"/>
          <w:szCs w:val="24"/>
        </w:rPr>
        <w:lastRenderedPageBreak/>
        <w:t xml:space="preserve">Figure </w:t>
      </w:r>
      <w:r>
        <w:rPr>
          <w:color w:val="3333B3"/>
          <w:szCs w:val="24"/>
        </w:rPr>
        <w:t>5</w:t>
      </w:r>
      <w:r w:rsidRPr="00AE64AE">
        <w:rPr>
          <w:color w:val="3333B3"/>
          <w:szCs w:val="24"/>
        </w:rPr>
        <w:t xml:space="preserve">: </w:t>
      </w:r>
      <w:r w:rsidRPr="00AE64AE">
        <w:rPr>
          <w:szCs w:val="24"/>
        </w:rPr>
        <w:t>Response to</w:t>
      </w:r>
      <w:r>
        <w:rPr>
          <w:szCs w:val="24"/>
        </w:rPr>
        <w:t xml:space="preserve"> a</w:t>
      </w:r>
      <w:r w:rsidRPr="00AE64AE">
        <w:rPr>
          <w:szCs w:val="24"/>
        </w:rPr>
        <w:t xml:space="preserve"> 1 p</w:t>
      </w:r>
      <w:r>
        <w:rPr>
          <w:szCs w:val="24"/>
        </w:rPr>
        <w:t>.</w:t>
      </w:r>
      <w:r w:rsidRPr="00AE64AE">
        <w:rPr>
          <w:szCs w:val="24"/>
        </w:rPr>
        <w:t>p</w:t>
      </w:r>
      <w:r>
        <w:rPr>
          <w:szCs w:val="24"/>
        </w:rPr>
        <w:t>.</w:t>
      </w:r>
      <w:r w:rsidRPr="00AE64AE">
        <w:rPr>
          <w:szCs w:val="24"/>
        </w:rPr>
        <w:t xml:space="preserve"> </w:t>
      </w:r>
      <w:r>
        <w:rPr>
          <w:szCs w:val="24"/>
        </w:rPr>
        <w:t>MP</w:t>
      </w:r>
      <w:r w:rsidRPr="00AE64AE">
        <w:rPr>
          <w:szCs w:val="24"/>
        </w:rPr>
        <w:t xml:space="preserve"> shock, under</w:t>
      </w:r>
      <w:r w:rsidR="00296A66">
        <w:rPr>
          <w:szCs w:val="24"/>
        </w:rPr>
        <w:t xml:space="preserve"> a</w:t>
      </w:r>
      <w:r w:rsidR="00296A66" w:rsidRPr="00296A66">
        <w:t xml:space="preserve"> </w:t>
      </w:r>
      <w:r w:rsidR="00296A66" w:rsidRPr="00296A66">
        <w:rPr>
          <w:szCs w:val="24"/>
        </w:rPr>
        <w:t xml:space="preserve">Fixed-Rate Mortgage </w:t>
      </w:r>
      <w:r>
        <w:rPr>
          <w:szCs w:val="24"/>
        </w:rPr>
        <w:t>(</w:t>
      </w:r>
      <w:r w:rsidRPr="00AE64AE">
        <w:rPr>
          <w:szCs w:val="24"/>
        </w:rPr>
        <w:t xml:space="preserve">blue line) and under </w:t>
      </w:r>
      <w:r>
        <w:rPr>
          <w:szCs w:val="24"/>
        </w:rPr>
        <w:t>a</w:t>
      </w:r>
      <w:r w:rsidR="00296A66">
        <w:rPr>
          <w:szCs w:val="24"/>
        </w:rPr>
        <w:t xml:space="preserve"> </w:t>
      </w:r>
      <w:r w:rsidR="00296A66" w:rsidRPr="00296A66">
        <w:rPr>
          <w:szCs w:val="24"/>
        </w:rPr>
        <w:t>Variable-Rate Mortgage</w:t>
      </w:r>
      <w:r>
        <w:rPr>
          <w:szCs w:val="24"/>
        </w:rPr>
        <w:t xml:space="preserve"> (</w:t>
      </w:r>
      <w:r w:rsidRPr="00AE64AE">
        <w:rPr>
          <w:szCs w:val="24"/>
        </w:rPr>
        <w:t>orange dash</w:t>
      </w:r>
      <w:r>
        <w:rPr>
          <w:szCs w:val="24"/>
        </w:rPr>
        <w:t>ed</w:t>
      </w:r>
      <w:r w:rsidRPr="00AE64AE">
        <w:rPr>
          <w:szCs w:val="24"/>
        </w:rPr>
        <w:t xml:space="preserve"> line)</w:t>
      </w:r>
      <w:r w:rsidR="00761C59">
        <w:rPr>
          <w:noProof/>
          <w:lang w:bidi="he-IL"/>
        </w:rPr>
        <w:drawing>
          <wp:inline distT="0" distB="0" distL="0" distR="0" wp14:anchorId="59728271" wp14:editId="2E51F7E8">
            <wp:extent cx="5274310" cy="5274310"/>
            <wp:effectExtent l="0" t="0" r="2540" b="2540"/>
            <wp:docPr id="48113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51C1E8E4" w14:textId="3F3EAF90" w:rsidR="009215BE" w:rsidRDefault="00761C59" w:rsidP="002163F9">
      <w:pPr>
        <w:pStyle w:val="BodyText"/>
        <w:spacing w:line="240" w:lineRule="auto"/>
      </w:pPr>
      <w:r w:rsidRPr="00B50338">
        <w:rPr>
          <w:i/>
          <w:iCs/>
          <w:sz w:val="20"/>
          <w:szCs w:val="16"/>
          <w:lang w:bidi="he-IL"/>
        </w:rPr>
        <w:t xml:space="preserve">Notes: </w:t>
      </w:r>
      <w:r w:rsidRPr="00B50338">
        <w:rPr>
          <w:i/>
          <w:iCs/>
          <w:sz w:val="20"/>
          <w:szCs w:val="16"/>
        </w:rPr>
        <w:t xml:space="preserve">Variables </w:t>
      </w:r>
      <w:r w:rsidR="00950F73">
        <w:rPr>
          <w:i/>
          <w:iCs/>
          <w:sz w:val="20"/>
          <w:szCs w:val="16"/>
        </w:rPr>
        <w:t>are expressed as</w:t>
      </w:r>
      <w:r w:rsidRPr="00B50338">
        <w:rPr>
          <w:i/>
          <w:iCs/>
          <w:sz w:val="20"/>
          <w:szCs w:val="16"/>
        </w:rPr>
        <w:t xml:space="preserve"> deviation</w:t>
      </w:r>
      <w:r w:rsidR="00950F73">
        <w:rPr>
          <w:i/>
          <w:iCs/>
          <w:sz w:val="20"/>
          <w:szCs w:val="16"/>
        </w:rPr>
        <w:t>s</w:t>
      </w:r>
      <w:r w:rsidRPr="00B50338">
        <w:rPr>
          <w:i/>
          <w:iCs/>
          <w:sz w:val="20"/>
          <w:szCs w:val="16"/>
        </w:rPr>
        <w:t xml:space="preserve"> from </w:t>
      </w:r>
      <w:r w:rsidR="00950F73">
        <w:rPr>
          <w:i/>
          <w:iCs/>
          <w:sz w:val="20"/>
          <w:szCs w:val="16"/>
        </w:rPr>
        <w:t>their steady state values and include</w:t>
      </w:r>
      <w:r w:rsidRPr="00B50338">
        <w:rPr>
          <w:i/>
          <w:iCs/>
          <w:sz w:val="20"/>
          <w:szCs w:val="16"/>
        </w:rPr>
        <w:t xml:space="preserve">: output, inflation, real central bank interest rate, </w:t>
      </w:r>
      <w:r w:rsidR="001E63F5">
        <w:rPr>
          <w:i/>
          <w:iCs/>
          <w:sz w:val="20"/>
          <w:szCs w:val="16"/>
        </w:rPr>
        <w:t>mortgage real interest rate</w:t>
      </w:r>
      <w:r w:rsidR="001E63F5" w:rsidRPr="00B50338">
        <w:rPr>
          <w:i/>
          <w:iCs/>
          <w:sz w:val="20"/>
          <w:szCs w:val="16"/>
        </w:rPr>
        <w:t>,</w:t>
      </w:r>
      <w:r w:rsidR="00700C9D">
        <w:rPr>
          <w:i/>
          <w:iCs/>
          <w:sz w:val="20"/>
          <w:szCs w:val="16"/>
        </w:rPr>
        <w:t xml:space="preserve"> </w:t>
      </w:r>
      <w:r w:rsidRPr="00B50338">
        <w:rPr>
          <w:i/>
          <w:iCs/>
          <w:sz w:val="20"/>
          <w:szCs w:val="16"/>
        </w:rPr>
        <w:t xml:space="preserve">ownership by unconstrained households, renting by unconstrained households, consumption by unconstrained households, </w:t>
      </w:r>
      <w:r w:rsidRPr="00B50338">
        <w:rPr>
          <w:i/>
          <w:iCs/>
          <w:sz w:val="20"/>
          <w:szCs w:val="16"/>
          <w:lang w:bidi="he-IL"/>
        </w:rPr>
        <w:t xml:space="preserve">stock of debt, </w:t>
      </w:r>
      <w:r w:rsidRPr="00B50338">
        <w:rPr>
          <w:i/>
          <w:iCs/>
          <w:sz w:val="20"/>
          <w:szCs w:val="16"/>
        </w:rPr>
        <w:t xml:space="preserve">ownership by constrained households, renting by constrained households, consumption by constrained households, new debt, </w:t>
      </w:r>
      <w:r w:rsidRPr="00B50338">
        <w:rPr>
          <w:i/>
          <w:iCs/>
          <w:sz w:val="20"/>
          <w:szCs w:val="16"/>
          <w:lang w:bidi="he-IL"/>
        </w:rPr>
        <w:t xml:space="preserve">nominal and real rent prices, real home prices and rent-to-home price ratio. The y-axes </w:t>
      </w:r>
      <w:r w:rsidR="002163F9">
        <w:rPr>
          <w:i/>
          <w:iCs/>
          <w:sz w:val="20"/>
          <w:szCs w:val="16"/>
          <w:lang w:bidi="he-IL"/>
        </w:rPr>
        <w:t>represent</w:t>
      </w:r>
      <w:r w:rsidRPr="00B50338">
        <w:rPr>
          <w:i/>
          <w:iCs/>
          <w:sz w:val="20"/>
          <w:szCs w:val="16"/>
          <w:lang w:bidi="he-IL"/>
        </w:rPr>
        <w:t xml:space="preserve"> </w:t>
      </w:r>
      <w:r w:rsidR="002163F9">
        <w:rPr>
          <w:i/>
          <w:iCs/>
          <w:sz w:val="20"/>
          <w:szCs w:val="16"/>
          <w:lang w:bidi="he-IL"/>
        </w:rPr>
        <w:t xml:space="preserve">the </w:t>
      </w:r>
      <w:r w:rsidRPr="00B50338">
        <w:rPr>
          <w:i/>
          <w:iCs/>
          <w:sz w:val="20"/>
          <w:szCs w:val="16"/>
          <w:lang w:bidi="he-IL"/>
        </w:rPr>
        <w:t xml:space="preserve">percent deviation of each variable from its steady state in annualized terms, except for inflation and interest rates, which are </w:t>
      </w:r>
      <w:r w:rsidR="002163F9">
        <w:rPr>
          <w:i/>
          <w:iCs/>
          <w:sz w:val="20"/>
          <w:szCs w:val="16"/>
          <w:lang w:bidi="he-IL"/>
        </w:rPr>
        <w:t xml:space="preserve">shown as </w:t>
      </w:r>
      <w:r w:rsidRPr="00B50338">
        <w:rPr>
          <w:i/>
          <w:iCs/>
          <w:sz w:val="20"/>
          <w:szCs w:val="16"/>
          <w:lang w:bidi="he-IL"/>
        </w:rPr>
        <w:t>percentage point deviations.</w:t>
      </w:r>
    </w:p>
    <w:p w14:paraId="3D662060" w14:textId="77777777" w:rsidR="00BE6C7F" w:rsidRDefault="001A66DC" w:rsidP="00C4096B">
      <w:pPr>
        <w:pStyle w:val="Heading2"/>
      </w:pPr>
      <w:bookmarkStart w:id="33" w:name="OLE_LINK7"/>
      <w:bookmarkStart w:id="34" w:name="OLE_LINK11"/>
      <w:r w:rsidRPr="0096777A">
        <w:t xml:space="preserve">The </w:t>
      </w:r>
      <w:r>
        <w:t>Effect</w:t>
      </w:r>
      <w:r w:rsidRPr="0096777A">
        <w:t xml:space="preserve"> of L</w:t>
      </w:r>
      <w:r w:rsidR="00A73B0F">
        <w:t>TV</w:t>
      </w:r>
      <w:r>
        <w:t xml:space="preserve"> </w:t>
      </w:r>
      <w:r w:rsidRPr="0096777A">
        <w:t>Rati</w:t>
      </w:r>
      <w:r>
        <w:t>o on Ho</w:t>
      </w:r>
      <w:r w:rsidR="00C4096B">
        <w:t>me</w:t>
      </w:r>
      <w:r>
        <w:t xml:space="preserve"> Prices</w:t>
      </w:r>
    </w:p>
    <w:bookmarkEnd w:id="33"/>
    <w:p w14:paraId="11F4DFDD" w14:textId="77777777" w:rsidR="00BE6C7F" w:rsidRDefault="001A66DC" w:rsidP="00C4096B">
      <w:pPr>
        <w:pStyle w:val="BodyText"/>
        <w:rPr>
          <w:rtl/>
          <w:lang w:bidi="he-IL"/>
        </w:rPr>
      </w:pPr>
      <w:r w:rsidRPr="0061509D">
        <w:t xml:space="preserve">The primary objective of macroprudential policy is to lessen the risk of future financial crises by controlling the level of debt in the economy. An intriguing question is whether such policy also </w:t>
      </w:r>
      <w:r w:rsidR="00710C65" w:rsidRPr="0061509D">
        <w:t>influences</w:t>
      </w:r>
      <w:r w:rsidRPr="0061509D">
        <w:t xml:space="preserve"> ho</w:t>
      </w:r>
      <w:r w:rsidR="00C4096B">
        <w:t>me</w:t>
      </w:r>
      <w:r w:rsidRPr="0061509D">
        <w:t xml:space="preserve"> prices? Research findings vary, suggesting that the impact of macroprudential policy on ho</w:t>
      </w:r>
      <w:r w:rsidR="00C4096B">
        <w:t>me</w:t>
      </w:r>
      <w:r w:rsidRPr="0061509D">
        <w:t xml:space="preserve"> prices may depend on </w:t>
      </w:r>
      <w:r w:rsidRPr="0061509D">
        <w:rPr>
          <w:rFonts w:cs="Segoe UI"/>
        </w:rPr>
        <w:t xml:space="preserve">a country's specific housing market structure, making </w:t>
      </w:r>
      <w:r w:rsidRPr="0061509D">
        <w:rPr>
          <w:rFonts w:cs="Segoe UI"/>
        </w:rPr>
        <w:lastRenderedPageBreak/>
        <w:t>it difficult to draw definitive conclusions.</w:t>
      </w:r>
      <w:r w:rsidR="004D299A">
        <w:rPr>
          <w:rFonts w:cs="Segoe UI"/>
        </w:rPr>
        <w:t xml:space="preserve"> Here, we examine the impact of macroprudential policy in </w:t>
      </w:r>
      <w:r w:rsidR="00C4096B">
        <w:rPr>
          <w:rFonts w:cs="Segoe UI"/>
        </w:rPr>
        <w:t xml:space="preserve">the </w:t>
      </w:r>
      <w:r w:rsidR="004D299A">
        <w:rPr>
          <w:rFonts w:cs="Segoe UI"/>
        </w:rPr>
        <w:t xml:space="preserve">housing market using our model. </w:t>
      </w:r>
      <w:r>
        <w:t xml:space="preserve"> </w:t>
      </w:r>
      <w:r w:rsidR="00693F6B">
        <w:t xml:space="preserve"> </w:t>
      </w:r>
    </w:p>
    <w:p w14:paraId="7A3CE4B8" w14:textId="343B2EEF" w:rsidR="00EC6C61" w:rsidRPr="00426E3A" w:rsidRDefault="001A66DC" w:rsidP="00EC6C61">
      <w:pPr>
        <w:pStyle w:val="Heading3"/>
      </w:pPr>
      <w:r>
        <w:t>Short term effect</w:t>
      </w:r>
      <w:r w:rsidR="00C83143">
        <w:t xml:space="preserve"> of permanent LTV shock</w:t>
      </w:r>
    </w:p>
    <w:p w14:paraId="0D1F52F8" w14:textId="63494D70" w:rsidR="00F06B82" w:rsidRPr="002C192D" w:rsidRDefault="001A66DC" w:rsidP="001E2EA6">
      <w:pPr>
        <w:pStyle w:val="BodyText"/>
      </w:pPr>
      <w:r w:rsidRPr="00426E3A">
        <w:t xml:space="preserve">The LTV ratio shock </w:t>
      </w:r>
      <w:r w:rsidRPr="005349D7">
        <w:t>demonstrates</w:t>
      </w:r>
      <w:r w:rsidRPr="00426E3A">
        <w:t xml:space="preserve"> the impact of macroprudential policy that either tightens or loosens household borrowing capacity. Given the infrequency of macroprudential policy measures, we assume that the shock to the LTV ratio is </w:t>
      </w:r>
      <w:r w:rsidR="004E7EAB">
        <w:t xml:space="preserve">(almost) </w:t>
      </w:r>
      <w:r w:rsidRPr="00426E3A">
        <w:t xml:space="preserve">permanent, </w:t>
      </w:r>
      <w:r w:rsidRPr="005349D7">
        <w:t>approximated</w:t>
      </w:r>
      <w:r w:rsidRPr="00426E3A">
        <w:t xml:space="preserve"> by </w:t>
      </w:r>
      <w:r w:rsidR="000334D8">
        <w:t>a remarkably high</w:t>
      </w:r>
      <w:r w:rsidRPr="00426E3A">
        <w:t xml:space="preserve"> inertia</w:t>
      </w:r>
      <w:r w:rsidR="00C4096B">
        <w:t>.</w:t>
      </w:r>
      <w:r w:rsidRPr="003C31AE">
        <w:rPr>
          <w:rStyle w:val="FootnoteReference"/>
        </w:rPr>
        <w:footnoteReference w:id="12"/>
      </w:r>
      <w:r w:rsidR="001E2EA6">
        <w:t xml:space="preserve"> </w:t>
      </w:r>
      <w:r w:rsidR="00077865" w:rsidRPr="00426E3A">
        <w:t xml:space="preserve">More specifically, </w:t>
      </w:r>
      <w:bookmarkStart w:id="35" w:name="OLE_LINK37"/>
      <w:r w:rsidR="00077865" w:rsidRPr="00426E3A">
        <w:t xml:space="preserve">we simulate a scenario where macroprudential policy </w:t>
      </w:r>
      <w:r w:rsidR="00C4096B">
        <w:t>lowers the maximum</w:t>
      </w:r>
      <w:r w:rsidR="00077865" w:rsidRPr="00426E3A">
        <w:t xml:space="preserve"> LTV ratio from 66% to 56%</w:t>
      </w:r>
      <w:bookmarkEnd w:id="35"/>
      <w:r w:rsidR="00077865" w:rsidRPr="00426E3A">
        <w:t xml:space="preserve"> </w:t>
      </w:r>
      <w:r w:rsidR="004E7EAB">
        <w:t xml:space="preserve">(almost) </w:t>
      </w:r>
      <w:r w:rsidR="00077865" w:rsidRPr="00426E3A">
        <w:t>permanently.</w:t>
      </w:r>
      <w:r w:rsidR="000A1FA6">
        <w:t xml:space="preserve"> </w:t>
      </w:r>
      <w:r w:rsidR="004F3E4B">
        <w:t>T</w:t>
      </w:r>
      <w:r w:rsidR="004F3E4B" w:rsidRPr="004F3E4B">
        <w:t>he</w:t>
      </w:r>
      <w:r w:rsidR="004F3E4B">
        <w:t xml:space="preserve"> </w:t>
      </w:r>
      <w:r w:rsidR="004F3E4B" w:rsidRPr="004F3E4B">
        <w:t>share of borrowers is an exogenous parameter in the model</w:t>
      </w:r>
      <w:r w:rsidR="004F3E4B">
        <w:t>,</w:t>
      </w:r>
      <w:r w:rsidR="004F3E4B" w:rsidRPr="004F3E4B">
        <w:t xml:space="preserve"> </w:t>
      </w:r>
      <w:r w:rsidR="004F3E4B">
        <w:t xml:space="preserve">while in reality the LTV ratio shock may change </w:t>
      </w:r>
      <w:r w:rsidR="00C4096B">
        <w:t xml:space="preserve">the </w:t>
      </w:r>
      <w:r w:rsidR="008C597D">
        <w:t>lender</w:t>
      </w:r>
      <w:r w:rsidR="004F3E4B">
        <w:t xml:space="preserve">-borrower composition. Thus, we present here only </w:t>
      </w:r>
      <w:r w:rsidR="004F3E4B" w:rsidRPr="004F3E4B">
        <w:t>the intensive borrowi</w:t>
      </w:r>
      <w:r w:rsidR="004F3E4B" w:rsidRPr="002C192D">
        <w:t>ng margin.</w:t>
      </w:r>
    </w:p>
    <w:p w14:paraId="08DC1CA0" w14:textId="77777777" w:rsidR="0021115B" w:rsidRDefault="0021115B" w:rsidP="0021115B">
      <w:pPr>
        <w:pStyle w:val="BodyText"/>
      </w:pPr>
      <w:r>
        <w:t>Figure 6 displays the impulse responses of the main variables to a permanent reduction in the loan-to-value (LTV) cap by 10 percentage points. It is evident that a tighter macroprudential (MP) policy leads to substantial deleveraging: new debt initially declines by about 70%, while outstanding debt falls by roughly 5%.</w:t>
      </w:r>
    </w:p>
    <w:p w14:paraId="7F42CDC2" w14:textId="0CE07F91" w:rsidR="0021115B" w:rsidRDefault="00547121" w:rsidP="00F77B23">
      <w:pPr>
        <w:pStyle w:val="BodyText"/>
      </w:pPr>
      <w:r w:rsidRPr="00547121">
        <w:t xml:space="preserve">To </w:t>
      </w:r>
      <w:r w:rsidR="00F77B23">
        <w:t>understand</w:t>
      </w:r>
      <w:r w:rsidRPr="00547121">
        <w:t xml:space="preserve"> the mechanism driving this result, we present again the equation describing the evolution of new debt.</w:t>
      </w:r>
    </w:p>
    <w:p w14:paraId="4636A129" w14:textId="3FAF6FBA" w:rsidR="00D842E7" w:rsidRPr="00B600AA" w:rsidRDefault="00D842E7" w:rsidP="00D842E7">
      <w:pPr>
        <w:pStyle w:val="BodyText"/>
        <w:rPr>
          <w:rFonts w:asciiTheme="majorHAnsi" w:hAnsiTheme="majorHAnsi"/>
          <w:rtl/>
          <w:lang w:bidi="he-IL"/>
        </w:rPr>
      </w:pPr>
      <m:oMathPara>
        <m:oMathParaPr>
          <m:jc m:val="center"/>
        </m:oMathParaPr>
        <m:oMath>
          <m:r>
            <w:rPr>
              <w:rFonts w:ascii="Cambria Math" w:hAnsi="Cambria Math"/>
            </w:rPr>
            <m:t>B</m:t>
          </m:r>
          <m:sSup>
            <m:sSupPr>
              <m:ctrlPr>
                <w:rPr>
                  <w:rFonts w:ascii="Cambria Math" w:hAnsi="Cambria Math"/>
                  <w:i/>
                  <w:iCs/>
                </w:rPr>
              </m:ctrlPr>
            </m:sSupPr>
            <m:e>
              <m:r>
                <w:rPr>
                  <w:rFonts w:ascii="Cambria Math" w:hAnsi="Cambria Math"/>
                </w:rPr>
                <m:t>'ₜ</m:t>
              </m:r>
            </m:e>
            <m:sup>
              <m:r>
                <w:rPr>
                  <w:rFonts w:ascii="Cambria Math" w:hAnsi="Cambria Math"/>
                </w:rPr>
                <m:t>New</m:t>
              </m:r>
            </m:sup>
          </m:sSup>
          <m:r>
            <w:rPr>
              <w:rFonts w:ascii="Cambria Math" w:hAnsi="Cambria Math"/>
            </w:rPr>
            <m:t xml:space="preserve"> ≤  LT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qₜ</m:t>
          </m:r>
          <m:d>
            <m:dPr>
              <m:ctrlPr>
                <w:rPr>
                  <w:rFonts w:ascii="Cambria Math" w:hAnsi="Cambria Math"/>
                  <w:i/>
                </w:rPr>
              </m:ctrlPr>
            </m:dPr>
            <m:e>
              <m:sSubSup>
                <m:sSubSupPr>
                  <m:ctrlPr>
                    <w:rPr>
                      <w:rFonts w:ascii="Cambria Math" w:hAnsi="Cambria Math"/>
                      <w:i/>
                      <w:iCs/>
                    </w:rPr>
                  </m:ctrlPr>
                </m:sSubSupPr>
                <m:e>
                  <m:r>
                    <w:rPr>
                      <w:rFonts w:ascii="Cambria Math" w:hAnsi="Cambria Math"/>
                    </w:rPr>
                    <m:t>h</m:t>
                  </m:r>
                </m:e>
                <m:sub>
                  <m:r>
                    <w:rPr>
                      <w:rFonts w:ascii="Cambria Math" w:hAnsi="Cambria Math"/>
                    </w:rPr>
                    <m:t>o,t</m:t>
                  </m:r>
                </m:sub>
                <m:sup>
                  <m:r>
                    <w:rPr>
                      <w:rFonts w:ascii="Cambria Math" w:hAnsi="Cambria Math"/>
                    </w:rPr>
                    <m:t>'</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h</m:t>
                  </m:r>
                </m:e>
                <m:sub>
                  <m:r>
                    <w:rPr>
                      <w:rFonts w:ascii="Cambria Math" w:hAnsi="Cambria Math"/>
                    </w:rPr>
                    <m:t>o,t-1</m:t>
                  </m:r>
                </m:sub>
                <m:sup>
                  <m:r>
                    <w:rPr>
                      <w:rFonts w:ascii="Cambria Math" w:hAnsi="Cambria Math"/>
                    </w:rPr>
                    <m:t>'</m:t>
                  </m:r>
                </m:sup>
              </m:sSubSup>
            </m:e>
          </m:d>
          <m:r>
            <w:rPr>
              <w:rFonts w:ascii="Cambria Math" w:hAnsi="Cambria Math"/>
            </w:rPr>
            <m:t>+ κ</m:t>
          </m:r>
          <m:d>
            <m:dPr>
              <m:ctrlPr>
                <w:rPr>
                  <w:rFonts w:ascii="Cambria Math" w:hAnsi="Cambria Math"/>
                  <w:i/>
                </w:rPr>
              </m:ctrlPr>
            </m:dPr>
            <m:e>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qₜ</m:t>
              </m:r>
              <m:sSubSup>
                <m:sSubSupPr>
                  <m:ctrlPr>
                    <w:rPr>
                      <w:rFonts w:ascii="Cambria Math" w:hAnsi="Cambria Math"/>
                      <w:i/>
                      <w:iCs/>
                    </w:rPr>
                  </m:ctrlPr>
                </m:sSubSupPr>
                <m:e>
                  <m:r>
                    <w:rPr>
                      <w:rFonts w:ascii="Cambria Math" w:hAnsi="Cambria Math"/>
                    </w:rPr>
                    <m:t>h</m:t>
                  </m:r>
                </m:e>
                <m:sub>
                  <m:r>
                    <w:rPr>
                      <w:rFonts w:ascii="Cambria Math" w:hAnsi="Cambria Math"/>
                    </w:rPr>
                    <m:t>o,t-1</m:t>
                  </m:r>
                </m:sub>
                <m:sup>
                  <m:r>
                    <w:rPr>
                      <w:rFonts w:ascii="Cambria Math" w:hAnsi="Cambria Math"/>
                    </w:rPr>
                    <m:t>'</m:t>
                  </m:r>
                </m:sup>
              </m:sSubSup>
              <m:r>
                <w:rPr>
                  <w:rFonts w:ascii="Cambria Math" w:hAnsi="Cambria Math"/>
                </w:rPr>
                <m:t xml:space="preserve"> -</m:t>
              </m:r>
              <m:d>
                <m:dPr>
                  <m:ctrlPr>
                    <w:rPr>
                      <w:rFonts w:ascii="Cambria Math" w:hAnsi="Cambria Math"/>
                      <w:i/>
                      <w:iCs/>
                    </w:rPr>
                  </m:ctrlPr>
                </m:dPr>
                <m:e>
                  <m:r>
                    <w:rPr>
                      <w:rFonts w:ascii="Cambria Math" w:hAnsi="Cambria Math"/>
                    </w:rPr>
                    <m:t>1-Υ</m:t>
                  </m:r>
                </m:e>
              </m:d>
              <m:sSubSup>
                <m:sSubSupPr>
                  <m:ctrlPr>
                    <w:rPr>
                      <w:rFonts w:ascii="Cambria Math" w:hAnsi="Cambria Math"/>
                      <w:i/>
                      <w:iCs/>
                    </w:rPr>
                  </m:ctrlPr>
                </m:sSubSupPr>
                <m:e>
                  <m:r>
                    <w:rPr>
                      <w:rFonts w:ascii="Cambria Math" w:hAnsi="Cambria Math"/>
                    </w:rPr>
                    <m:t>B</m:t>
                  </m:r>
                </m:e>
                <m:sub>
                  <m:r>
                    <w:rPr>
                      <w:rFonts w:ascii="Cambria Math" w:hAnsi="Cambria Math"/>
                    </w:rPr>
                    <m:t>t-1</m:t>
                  </m:r>
                </m:sub>
                <m:sup>
                  <m:r>
                    <w:rPr>
                      <w:rFonts w:ascii="Cambria Math" w:hAnsi="Cambria Math"/>
                    </w:rPr>
                    <m:t>'</m:t>
                  </m:r>
                </m:sup>
              </m:sSubSup>
            </m:e>
          </m:d>
        </m:oMath>
      </m:oMathPara>
    </w:p>
    <w:p w14:paraId="08F576E0" w14:textId="086198CC" w:rsidR="00386130" w:rsidRDefault="00386130" w:rsidP="00AC04A1">
      <w:pPr>
        <w:pStyle w:val="BodyText"/>
      </w:pPr>
      <w:r w:rsidRPr="00386130">
        <w:t>The significant deleveraging occurs for two main reasons: (1) a lower LTV cap directly reduces new borrowing, leading to a lower level of allowable new debt even when the price and quantity of owner‑occupied housing are fixed (the first term); and (2) the lower LTV cap generates negative net equity—after adjustment for the reduced LTV—forcing borrowers to deleverage (the second term). These two factors are further intensified as the decline in borrowers’ home ownership leads to even stronger deleveraging.</w:t>
      </w:r>
    </w:p>
    <w:p w14:paraId="3864FFF4" w14:textId="3E9F3D72" w:rsidR="00DC7E00" w:rsidRDefault="00DC7E00" w:rsidP="008C3624">
      <w:pPr>
        <w:pStyle w:val="BodyText"/>
      </w:pPr>
      <w:r w:rsidRPr="00DC7E00">
        <w:t>H</w:t>
      </w:r>
      <w:r w:rsidR="005D338C">
        <w:t>owever, as illustrated in Fig.</w:t>
      </w:r>
      <w:r w:rsidRPr="00DC7E00">
        <w:t xml:space="preserve"> 6, </w:t>
      </w:r>
      <w:r w:rsidR="006D37FE">
        <w:t xml:space="preserve">despite </w:t>
      </w:r>
      <w:r w:rsidR="008C3624">
        <w:t>the</w:t>
      </w:r>
      <w:r w:rsidRPr="00DC7E00">
        <w:t xml:space="preserve"> substantial deleveraging, real house prices decline only marginally. A 10 percentage point tightening of the LTV regulation leads to a reduction of no more than 0.25% in home prices.</w:t>
      </w:r>
    </w:p>
    <w:p w14:paraId="6E7C9426" w14:textId="622B3302" w:rsidR="00217D41" w:rsidRDefault="00217D41" w:rsidP="00857FA3">
      <w:pPr>
        <w:pStyle w:val="BodyText"/>
      </w:pPr>
      <w:r w:rsidRPr="00217D41">
        <w:t xml:space="preserve">Our model-based result—that home prices react only weakly to a lower LTV cap—aligns with </w:t>
      </w:r>
      <w:r w:rsidR="00857FA3" w:rsidRPr="00857FA3">
        <w:rPr>
          <w:color w:val="0081AD"/>
        </w:rPr>
        <w:fldChar w:fldCharType="begin"/>
      </w:r>
      <w:r w:rsidR="00857FA3" w:rsidRPr="00857FA3">
        <w:rPr>
          <w:color w:val="0081AD"/>
        </w:rPr>
        <w:instrText xml:space="preserve"> ADDIN ZOTERO_ITEM CSL_CITATION {"citationID":"TTzENC4g","properties":{"unsorted":false,"formattedCitation":"Cerutti et al. (2017)","plainCitation":"Cerutti et al. (2017)","noteIndex":0},"citationItems":[{"id":2230,"uris":["http://zotero.org/users/6680486/items/CRL49XA5"],"itemData":{"id":2230,"type":"article-journal","abstract":"Using a recent IMF survey and expanding on previous studies, we document the use of macroprudential policies for 119 countries over the 2000–2013 period, covering many instruments. Emerging economies use macroprudential policies most frequently; especially foreign exchange related ones while advanced countries use borrower-based policies more. Usage is generally associated with lower growth in credit, notably in household credit. Effects are less in financially more developed and open economies, however, and usage comes with greater cross-border borrowing, suggesting some avoidance. And while macroprudential policies can help manage financial cycles, they work less well in busts.","citation-key":"ceruttiUseEffectivenessMacroprudential2017","container-title":"Journal of Financial Stability","DOI":"10.1016/j.jfs.2015.10.004","ISSN":"1572-3089","journalAbbreviation":"Journal of Financial Stability","language":"en","page":"203-224","source":"ScienceDirect","title":"The use and effectiveness of macroprudential policies: New evidence","title-short":"The use and effectiveness of macroprudential policies","volume":"28","author":[{"family":"Cerutti","given":"Eugenio"},{"family":"Claessens","given":"Stijn"},{"family":"Laeven","given":"Luc"}],"issued":{"date-parts":[["2017",2,1]]}}}],"schema":"https://github.com/citation-style-language/schema/raw/master/csl-citation.json"} </w:instrText>
      </w:r>
      <w:r w:rsidR="00857FA3" w:rsidRPr="00857FA3">
        <w:rPr>
          <w:color w:val="0081AD"/>
        </w:rPr>
        <w:fldChar w:fldCharType="separate"/>
      </w:r>
      <w:r w:rsidR="00857FA3" w:rsidRPr="00857FA3">
        <w:rPr>
          <w:rFonts w:ascii="Utopia" w:hAnsi="Utopia"/>
          <w:color w:val="0081AD"/>
        </w:rPr>
        <w:t>Cerutti et al. (2017)</w:t>
      </w:r>
      <w:r w:rsidR="00857FA3" w:rsidRPr="00857FA3">
        <w:rPr>
          <w:color w:val="0081AD"/>
        </w:rPr>
        <w:fldChar w:fldCharType="end"/>
      </w:r>
      <w:r w:rsidR="00857FA3">
        <w:t xml:space="preserve"> </w:t>
      </w:r>
      <w:r w:rsidRPr="00217D41">
        <w:t>and</w:t>
      </w:r>
      <w:r w:rsidR="00857FA3">
        <w:t xml:space="preserve"> </w:t>
      </w:r>
      <w:r w:rsidR="00857FA3" w:rsidRPr="00857FA3">
        <w:rPr>
          <w:color w:val="0081AD"/>
        </w:rPr>
        <w:fldChar w:fldCharType="begin"/>
      </w:r>
      <w:r w:rsidR="00857FA3" w:rsidRPr="00857FA3">
        <w:rPr>
          <w:color w:val="0081AD"/>
        </w:rPr>
        <w:instrText xml:space="preserve"> ADDIN ZOTERO_ITEM CSL_CITATION {"citationID":"RkyiipX7","properties":{"unsorted":false,"formattedCitation":"Buitron and Denis (2014)","plainCitation":"Buitron and Denis (2014)","noteIndex":0},"citationItems":[{"id":1668,"uris":["http://zotero.org/users/6680486/items/L8M5U7EY"],"itemData":{"id":1668,"type":"report","citation-key":"buitronHousingMarketIsrael2014","genre":"IMF Country Report","number":"No. 14/48","publisher":"International Monetary Fund","title":"The Housing Market in Israel","title-short":"ISRAEL SELECTED ISSUES","author":[{"family":"Buitron","given":"Carolina Osorio"},{"family":"Denis","given":"Stephanie"}],"collection-editor":[{"family":"Ishi","given":"Kotaro"},{"family":"Josephs","given":"Tom"},{"family":"Bova","given":"Elva"}],"issued":{"date-parts":[["2014",1,24]]}}}],"schema":"https://github.com/citation-style-language/schema/raw/master/csl-citation.json"} </w:instrText>
      </w:r>
      <w:r w:rsidR="00857FA3" w:rsidRPr="00857FA3">
        <w:rPr>
          <w:color w:val="0081AD"/>
        </w:rPr>
        <w:fldChar w:fldCharType="separate"/>
      </w:r>
      <w:r w:rsidR="00857FA3" w:rsidRPr="00857FA3">
        <w:rPr>
          <w:rFonts w:ascii="Utopia" w:hAnsi="Utopia"/>
          <w:color w:val="0081AD"/>
        </w:rPr>
        <w:t>Buitron and Denis (2014)</w:t>
      </w:r>
      <w:r w:rsidR="00857FA3" w:rsidRPr="00857FA3">
        <w:rPr>
          <w:color w:val="0081AD"/>
        </w:rPr>
        <w:fldChar w:fldCharType="end"/>
      </w:r>
      <w:r w:rsidRPr="00217D41">
        <w:t xml:space="preserve">. </w:t>
      </w:r>
      <w:r w:rsidR="00857FA3" w:rsidRPr="00857FA3">
        <w:rPr>
          <w:color w:val="0081AD"/>
        </w:rPr>
        <w:fldChar w:fldCharType="begin"/>
      </w:r>
      <w:r w:rsidR="00857FA3">
        <w:rPr>
          <w:color w:val="0081AD"/>
        </w:rPr>
        <w:instrText xml:space="preserve"> ADDIN ZOTERO_ITEM CSL_CITATION {"citationID":"AvPT6dje","properties":{"unsorted":false,"formattedCitation":"Cerutti et al. (2017)","plainCitation":"Cerutti et al. (2017)","noteIndex":0},"citationItems":[{"id":2230,"uris":["http://zotero.org/users/6680486/items/CRL49XA5"],"itemData":{"id":2230,"type":"article-journal","abstract":"Using a recent IMF survey and expanding on previous studies, we document the use of macroprudential policies for 119 countries over the 2000–2013 period, covering many instruments. Emerging economies use macroprudential policies most frequently; especially foreign exchange related ones while advanced countries use borrower-based policies more. Usage is generally associated with lower growth in credit, notably in household credit. Effects are less in financially more developed and open economies, however, and usage comes with greater cross-border borrowing, suggesting some avoidance. And while macroprudential policies can help manage financial cycles, they work less well in busts.","citation-key":"ceruttiUseEffectivenessMacroprudential2017","container-title":"Journal of Financial Stability","DOI":"10.1016/j.jfs.2015.10.004","ISSN":"1572-3089","journalAbbreviation":"Journal of Financial Stability","language":"en","page":"203-224","source":"ScienceDirect","title":"The use and effectiveness of macroprudential policies: New evidence","title-short":"The use and effectiveness of macroprudential policies","volume":"28","author":[{"family":"Cerutti","given":"Eugenio"},{"family":"Claessens","given":"Stijn"},{"family":"Laeven","given":"Luc"}],"issued":{"date-parts":[["2017",2,1]]}}}],"schema":"https://github.com/citation-style-language/schema/raw/master/csl-citation.json"} </w:instrText>
      </w:r>
      <w:r w:rsidR="00857FA3" w:rsidRPr="00857FA3">
        <w:rPr>
          <w:color w:val="0081AD"/>
        </w:rPr>
        <w:fldChar w:fldCharType="separate"/>
      </w:r>
      <w:r w:rsidR="00857FA3" w:rsidRPr="00857FA3">
        <w:rPr>
          <w:rFonts w:ascii="Utopia" w:hAnsi="Utopia"/>
          <w:color w:val="0081AD"/>
        </w:rPr>
        <w:t>Cerutti et al. (2017)</w:t>
      </w:r>
      <w:r w:rsidR="00857FA3" w:rsidRPr="00857FA3">
        <w:rPr>
          <w:color w:val="0081AD"/>
        </w:rPr>
        <w:fldChar w:fldCharType="end"/>
      </w:r>
      <w:r>
        <w:t xml:space="preserve"> </w:t>
      </w:r>
      <w:r w:rsidRPr="00217D41">
        <w:t xml:space="preserve">find that reducing the maximum LTV ratio has an insignificant, slightly negative effect on home prices in advanced economies, while </w:t>
      </w:r>
      <w:r w:rsidR="00857FA3" w:rsidRPr="00857FA3">
        <w:rPr>
          <w:color w:val="0081AD"/>
        </w:rPr>
        <w:fldChar w:fldCharType="begin"/>
      </w:r>
      <w:r w:rsidR="00C30B46">
        <w:rPr>
          <w:color w:val="0081AD"/>
        </w:rPr>
        <w:instrText xml:space="preserve"> ADDIN ZOTERO_ITEM CSL_CITATION {"citationID":"x26Z40kN","properties":{"unsorted":false,"formattedCitation":"Buitron and Denis (2014)","plainCitation":"Buitron and Denis (2014)","noteIndex":0},"citationItems":[{"id":1668,"uris":["http://zotero.org/users/6680486/items/L8M5U7EY"],"itemData":{"id":1668,"type":"report","citation-key":"buitronHousingMarketIsrael2014","genre":"IMF Country Report","number":"No. 14/48","publisher":"International Monetary Fund","title":"The Housing Market in Israel","title-short":"ISRAEL SELECTED ISSUES","author":[{"family":"Buitron","given":"Carolina Osorio"},{"family":"Denis","given":"Stephanie"}],"collection-editor":[{"family":"Ishi","given":"Kotaro"},{"family":"Josephs","given":"Tom"},{"family":"Bova","given":"Elva"}],"issued":{"date-parts":[["2014",1,24]]}}}],"schema":"https://github.com/citation-style-language/schema/raw/master/csl-citation.json"} </w:instrText>
      </w:r>
      <w:r w:rsidR="00857FA3" w:rsidRPr="00857FA3">
        <w:rPr>
          <w:color w:val="0081AD"/>
        </w:rPr>
        <w:fldChar w:fldCharType="separate"/>
      </w:r>
      <w:r w:rsidR="00857FA3" w:rsidRPr="00857FA3">
        <w:rPr>
          <w:rFonts w:ascii="Utopia" w:hAnsi="Utopia"/>
          <w:color w:val="0081AD"/>
        </w:rPr>
        <w:t>Buitron and Denis (2014)</w:t>
      </w:r>
      <w:r w:rsidR="00857FA3" w:rsidRPr="00857FA3">
        <w:rPr>
          <w:color w:val="0081AD"/>
        </w:rPr>
        <w:fldChar w:fldCharType="end"/>
      </w:r>
      <w:r w:rsidRPr="00217D41">
        <w:t xml:space="preserve"> report no evidence that macroprudential policies in Israel have restrained home prices.</w:t>
      </w:r>
    </w:p>
    <w:p w14:paraId="7ED05677" w14:textId="6BB5CC21" w:rsidR="00DD571B" w:rsidRDefault="004F003F" w:rsidP="00A46902">
      <w:pPr>
        <w:pStyle w:val="BodyText"/>
      </w:pPr>
      <w:r w:rsidRPr="004F003F">
        <w:lastRenderedPageBreak/>
        <w:t>Several studies employing DSGE models have examined the impact of changes in loan-to-value (LTV) ratios on housing prices. These studies generally find that a permanent reduction in the LTV cap leads to an immediate decline in home prices, although the magnitude of the effect varies across studies</w:t>
      </w:r>
      <w:r w:rsidR="00F9068D">
        <w:t xml:space="preserve"> between 0.5% and </w:t>
      </w:r>
      <w:r w:rsidR="00601744">
        <w:t>20</w:t>
      </w:r>
      <w:r w:rsidR="00F9068D">
        <w:t>%</w:t>
      </w:r>
      <w:r w:rsidR="00C4096B">
        <w:t>.</w:t>
      </w:r>
      <w:r w:rsidR="001A66DC" w:rsidRPr="003C31AE">
        <w:rPr>
          <w:rStyle w:val="FootnoteReference"/>
        </w:rPr>
        <w:footnoteReference w:id="13"/>
      </w:r>
      <w:r w:rsidR="000334D8">
        <w:t xml:space="preserve"> </w:t>
      </w:r>
    </w:p>
    <w:p w14:paraId="436F7212" w14:textId="276C0D60" w:rsidR="006B1C68" w:rsidRDefault="006B1C68" w:rsidP="00722839">
      <w:pPr>
        <w:pStyle w:val="BodyText"/>
      </w:pPr>
      <w:r w:rsidRPr="006B1C68">
        <w:t>We hypothesize that this difference stems from two main factors: first, the absence of a rental market in those models, which typically serves as a close substitute for home ownership; and second, the distinctive features of Israel’s rental housing market, particularly the dominant role played by investors (as discussed in Sections 2 and 3).</w:t>
      </w:r>
      <w:r w:rsidR="00722839">
        <w:t xml:space="preserve"> </w:t>
      </w:r>
      <w:r w:rsidRPr="006B1C68">
        <w:t>We now explain our key finding that, despite a significant reduction in the LTV cap, the effect on home prices remains minimal.</w:t>
      </w:r>
    </w:p>
    <w:p w14:paraId="7B4A44E2" w14:textId="63C8C5AF" w:rsidR="00C1162A" w:rsidRDefault="00C1162A" w:rsidP="00BA7D68">
      <w:pPr>
        <w:pStyle w:val="BodyText"/>
      </w:pPr>
      <w:r>
        <w:t xml:space="preserve">As borrowers reduce home ownership, downward pressure on housing prices emerges. In models with ownership only, this leads to a </w:t>
      </w:r>
      <w:r w:rsidR="008C44C1">
        <w:t xml:space="preserve">significant </w:t>
      </w:r>
      <w:r>
        <w:t>price decline. However, when a rental market is included, an offsetting channel appears. Given the high substitutability between owning and renting, borrowers shift to renting, as reflected in rising rents and declining ownership (see Figure 6).</w:t>
      </w:r>
      <w:r w:rsidR="00BA7D68">
        <w:t xml:space="preserve"> </w:t>
      </w:r>
      <w:r>
        <w:t>The increased rental demand encourages investors to expand housing purchases, raising housing investment by over 3%. This occurs because returns on housing rise relative to deposit interest rates. Thus, two opposing forces largely offset each other: borrowers selling homes and moving to rentals, pushing prices down, and investors buying properties to meet higher rental demand, pushing prices up.</w:t>
      </w:r>
    </w:p>
    <w:p w14:paraId="06DF0576" w14:textId="352A5F8D" w:rsidR="001A015B" w:rsidRDefault="001A015B" w:rsidP="001A015B">
      <w:pPr>
        <w:bidi w:val="0"/>
        <w:spacing w:before="100" w:beforeAutospacing="1" w:after="100" w:afterAutospacing="1"/>
        <w:jc w:val="both"/>
        <w:rPr>
          <w:sz w:val="24"/>
          <w:szCs w:val="24"/>
          <w:lang w:bidi="ar-SA"/>
        </w:rPr>
      </w:pPr>
      <w:r w:rsidRPr="001A015B">
        <w:rPr>
          <w:sz w:val="24"/>
          <w:szCs w:val="24"/>
          <w:lang w:bidi="ar-SA"/>
        </w:rPr>
        <w:t>We conducted a robustness test to examine the weak response of housing prices under a low degree of substitution between ownership and renting. The result remains largely unchanged (see Section 8.1), even though the substitution effect on housing prices is much weaker than in the baseline case, as it is offset by a more accommodative monetary policy stance.</w:t>
      </w:r>
    </w:p>
    <w:p w14:paraId="6DFE425D" w14:textId="422F20FB" w:rsidR="000906BC" w:rsidRDefault="001D6AB1" w:rsidP="00BB14C4">
      <w:pPr>
        <w:pStyle w:val="BodyText"/>
      </w:pPr>
      <w:r w:rsidRPr="004F4DA7">
        <w:rPr>
          <w:rFonts w:eastAsiaTheme="minorEastAsia"/>
          <w:highlight w:val="yellow"/>
        </w:rPr>
        <w:t xml:space="preserve">To verify </w:t>
      </w:r>
      <w:r w:rsidR="000D50EA">
        <w:rPr>
          <w:rFonts w:eastAsiaTheme="minorEastAsia"/>
          <w:highlight w:val="yellow"/>
        </w:rPr>
        <w:t>that the mechanisms in the rental market are the main source of this result</w:t>
      </w:r>
      <w:r w:rsidR="00B005FF" w:rsidRPr="004F4DA7">
        <w:rPr>
          <w:rFonts w:eastAsiaTheme="minorEastAsia"/>
          <w:highlight w:val="yellow"/>
        </w:rPr>
        <w:t xml:space="preserve">, we eliminated the rental </w:t>
      </w:r>
      <w:r w:rsidR="00D727FA" w:rsidRPr="004F4DA7">
        <w:rPr>
          <w:rFonts w:eastAsiaTheme="minorEastAsia"/>
          <w:highlight w:val="yellow"/>
        </w:rPr>
        <w:t>market</w:t>
      </w:r>
      <w:r w:rsidR="00B005FF" w:rsidRPr="004F4DA7">
        <w:rPr>
          <w:rFonts w:eastAsiaTheme="minorEastAsia"/>
          <w:highlight w:val="yellow"/>
        </w:rPr>
        <w:t xml:space="preserve"> in the model by setting the ownership share</w:t>
      </w:r>
      <w:r w:rsidR="00124536" w:rsidRPr="004F4DA7">
        <w:rPr>
          <w:rFonts w:eastAsiaTheme="minorEastAsia"/>
          <w:highlight w:val="yellow"/>
        </w:rPr>
        <w:t xml:space="preserve"> </w:t>
      </w:r>
      <w:r w:rsidR="00124536" w:rsidRPr="004F4DA7">
        <w:rPr>
          <w:highlight w:val="yellow"/>
        </w:rPr>
        <w:t>(</w:t>
      </w:r>
      <m:oMath>
        <m:r>
          <w:rPr>
            <w:rFonts w:ascii="Cambria Math" w:hAnsi="Cambria Math"/>
            <w:highlight w:val="yellow"/>
          </w:rPr>
          <m:t>γ</m:t>
        </m:r>
      </m:oMath>
      <w:r w:rsidR="00124536" w:rsidRPr="004F4DA7">
        <w:rPr>
          <w:rFonts w:eastAsiaTheme="minorEastAsia"/>
          <w:highlight w:val="yellow"/>
        </w:rPr>
        <w:t xml:space="preserve">) </w:t>
      </w:r>
      <w:r w:rsidR="00B005FF" w:rsidRPr="004F4DA7">
        <w:rPr>
          <w:rFonts w:eastAsiaTheme="minorEastAsia"/>
          <w:highlight w:val="yellow"/>
        </w:rPr>
        <w:t xml:space="preserve">in the housing composite </w:t>
      </w:r>
      <m:oMath>
        <m:r>
          <w:rPr>
            <w:rFonts w:ascii="Cambria Math" w:hAnsi="Cambria Math"/>
            <w:highlight w:val="yellow"/>
          </w:rPr>
          <m:t>H</m:t>
        </m:r>
        <m:d>
          <m:dPr>
            <m:ctrlPr>
              <w:rPr>
                <w:rFonts w:ascii="Cambria Math" w:hAnsi="Cambria Math"/>
                <w:highlight w:val="yellow"/>
              </w:rPr>
            </m:ctrlPr>
          </m:dPr>
          <m:e>
            <m:sSub>
              <m:sSubPr>
                <m:ctrlPr>
                  <w:rPr>
                    <w:rFonts w:ascii="Cambria Math" w:hAnsi="Cambria Math"/>
                    <w:highlight w:val="yellow"/>
                  </w:rPr>
                </m:ctrlPr>
              </m:sSubPr>
              <m:e>
                <m:r>
                  <w:rPr>
                    <w:rFonts w:ascii="Cambria Math" w:hAnsi="Cambria Math"/>
                    <w:highlight w:val="yellow"/>
                  </w:rPr>
                  <m:t>h</m:t>
                </m:r>
              </m:e>
              <m:sub>
                <m:r>
                  <w:rPr>
                    <w:rFonts w:ascii="Cambria Math" w:hAnsi="Cambria Math"/>
                    <w:highlight w:val="yellow"/>
                  </w:rPr>
                  <m:t>o</m:t>
                </m:r>
                <m:r>
                  <m:rPr>
                    <m:sty m:val="p"/>
                  </m:rPr>
                  <w:rPr>
                    <w:rFonts w:ascii="Cambria Math" w:hAnsi="Cambria Math"/>
                    <w:highlight w:val="yellow"/>
                  </w:rPr>
                  <m:t>,</m:t>
                </m:r>
                <m:r>
                  <w:rPr>
                    <w:rFonts w:ascii="Cambria Math" w:hAnsi="Cambria Math"/>
                    <w:highlight w:val="yellow"/>
                  </w:rPr>
                  <m:t>t</m:t>
                </m:r>
              </m:sub>
            </m:sSub>
            <m:r>
              <m:rPr>
                <m:sty m:val="p"/>
              </m:rPr>
              <w:rPr>
                <w:rFonts w:ascii="Cambria Math" w:hAnsi="Cambria Math"/>
                <w:highlight w:val="yellow"/>
              </w:rPr>
              <m:t>,</m:t>
            </m:r>
            <m:sSub>
              <m:sSubPr>
                <m:ctrlPr>
                  <w:rPr>
                    <w:rFonts w:ascii="Cambria Math" w:hAnsi="Cambria Math"/>
                    <w:highlight w:val="yellow"/>
                  </w:rPr>
                </m:ctrlPr>
              </m:sSubPr>
              <m:e>
                <m:r>
                  <w:rPr>
                    <w:rFonts w:ascii="Cambria Math" w:hAnsi="Cambria Math"/>
                    <w:highlight w:val="yellow"/>
                  </w:rPr>
                  <m:t>h</m:t>
                </m:r>
              </m:e>
              <m:sub>
                <m:r>
                  <w:rPr>
                    <w:rFonts w:ascii="Cambria Math" w:hAnsi="Cambria Math"/>
                    <w:highlight w:val="yellow"/>
                  </w:rPr>
                  <m:t>r</m:t>
                </m:r>
                <m:r>
                  <m:rPr>
                    <m:sty m:val="p"/>
                  </m:rPr>
                  <w:rPr>
                    <w:rFonts w:ascii="Cambria Math" w:hAnsi="Cambria Math"/>
                    <w:highlight w:val="yellow"/>
                  </w:rPr>
                  <m:t>,</m:t>
                </m:r>
                <m:r>
                  <w:rPr>
                    <w:rFonts w:ascii="Cambria Math" w:hAnsi="Cambria Math"/>
                    <w:highlight w:val="yellow"/>
                  </w:rPr>
                  <m:t>t</m:t>
                </m:r>
              </m:sub>
            </m:sSub>
          </m:e>
        </m:d>
      </m:oMath>
      <w:r w:rsidR="001813D2" w:rsidRPr="004F4DA7">
        <w:rPr>
          <w:rFonts w:eastAsiaTheme="minorEastAsia"/>
          <w:highlight w:val="yellow"/>
        </w:rPr>
        <w:t xml:space="preserve"> </w:t>
      </w:r>
      <w:r w:rsidR="00B005FF" w:rsidRPr="004F4DA7">
        <w:rPr>
          <w:rFonts w:eastAsiaTheme="minorEastAsia"/>
          <w:highlight w:val="yellow"/>
        </w:rPr>
        <w:t xml:space="preserve">close to </w:t>
      </w:r>
      <w:r w:rsidR="00124536" w:rsidRPr="004F4DA7">
        <w:rPr>
          <w:rFonts w:eastAsiaTheme="minorEastAsia"/>
          <w:highlight w:val="yellow"/>
        </w:rPr>
        <w:t>one</w:t>
      </w:r>
      <w:r w:rsidR="00B005FF" w:rsidRPr="004F4DA7">
        <w:rPr>
          <w:rFonts w:eastAsiaTheme="minorEastAsia"/>
          <w:highlight w:val="yellow"/>
        </w:rPr>
        <w:t xml:space="preserve"> and reducing the elasticity of substitution between ownership and renting </w:t>
      </w:r>
      <w:r w:rsidR="00CC3118" w:rsidRPr="004F4DA7">
        <w:rPr>
          <w:highlight w:val="yellow"/>
        </w:rPr>
        <w:t>(</w:t>
      </w:r>
      <m:oMath>
        <m:r>
          <w:rPr>
            <w:rFonts w:ascii="Cambria Math" w:hAnsi="Cambria Math"/>
            <w:highlight w:val="yellow"/>
          </w:rPr>
          <m:t>ε</m:t>
        </m:r>
      </m:oMath>
      <w:r w:rsidR="00CC3118" w:rsidRPr="004F4DA7">
        <w:rPr>
          <w:rFonts w:eastAsiaTheme="minorEastAsia"/>
          <w:highlight w:val="yellow"/>
        </w:rPr>
        <w:t xml:space="preserve">) </w:t>
      </w:r>
      <w:r w:rsidR="00124536" w:rsidRPr="004F4DA7">
        <w:rPr>
          <w:rFonts w:eastAsiaTheme="minorEastAsia"/>
          <w:highlight w:val="yellow"/>
        </w:rPr>
        <w:t xml:space="preserve">close </w:t>
      </w:r>
      <w:r w:rsidR="00B005FF" w:rsidRPr="004F4DA7">
        <w:rPr>
          <w:rFonts w:eastAsiaTheme="minorEastAsia"/>
          <w:highlight w:val="yellow"/>
        </w:rPr>
        <w:t xml:space="preserve">to </w:t>
      </w:r>
      <w:r w:rsidR="001813D2" w:rsidRPr="004F4DA7">
        <w:rPr>
          <w:rFonts w:eastAsiaTheme="minorEastAsia"/>
          <w:highlight w:val="yellow"/>
        </w:rPr>
        <w:t>one</w:t>
      </w:r>
      <w:r w:rsidR="00B005FF" w:rsidRPr="004F4DA7">
        <w:rPr>
          <w:rFonts w:eastAsiaTheme="minorEastAsia"/>
          <w:highlight w:val="yellow"/>
        </w:rPr>
        <w:t>.</w:t>
      </w:r>
      <w:r w:rsidR="000906BC" w:rsidRPr="004F4DA7">
        <w:rPr>
          <w:rFonts w:eastAsiaTheme="minorEastAsia"/>
          <w:highlight w:val="yellow"/>
        </w:rPr>
        <w:t xml:space="preserve"> </w:t>
      </w:r>
      <w:r w:rsidR="00773209" w:rsidRPr="004F4DA7">
        <w:rPr>
          <w:highlight w:val="yellow"/>
        </w:rPr>
        <w:t xml:space="preserve">We find that under this calibration, the decline in housing prices is </w:t>
      </w:r>
      <w:r w:rsidR="002F6845">
        <w:rPr>
          <w:highlight w:val="yellow"/>
        </w:rPr>
        <w:t xml:space="preserve">twice </w:t>
      </w:r>
      <w:r w:rsidR="00773209" w:rsidRPr="004F4DA7">
        <w:rPr>
          <w:highlight w:val="yellow"/>
        </w:rPr>
        <w:t>stronger than in the benchmark case.</w:t>
      </w:r>
      <w:r w:rsidR="00BB14C4">
        <w:t xml:space="preserve"> </w:t>
      </w:r>
      <w:r w:rsidR="00A1725C" w:rsidRPr="00A1725C">
        <w:rPr>
          <w:highlight w:val="cyan"/>
        </w:rPr>
        <w:t>When in addition we reduce the share of investors in the economy, the reduction in the home prices is……</w:t>
      </w:r>
      <w:r w:rsidR="00A1725C">
        <w:t xml:space="preserve">  </w:t>
      </w:r>
    </w:p>
    <w:p w14:paraId="60BFCB6E" w14:textId="0AFF0E9B" w:rsidR="0072115A" w:rsidRDefault="001A66DC" w:rsidP="0011180C">
      <w:pPr>
        <w:pStyle w:val="Caption"/>
        <w:rPr>
          <w:rFonts w:cstheme="minorBidi"/>
          <w:sz w:val="20"/>
          <w:szCs w:val="16"/>
          <w:lang w:bidi="he-IL"/>
        </w:rPr>
      </w:pPr>
      <w:bookmarkStart w:id="36" w:name="OLE_LINK25"/>
      <w:r w:rsidRPr="00AE64AE">
        <w:rPr>
          <w:color w:val="3333B3"/>
          <w:szCs w:val="24"/>
        </w:rPr>
        <w:lastRenderedPageBreak/>
        <w:t xml:space="preserve">Figure </w:t>
      </w:r>
      <w:r w:rsidR="009215BE">
        <w:rPr>
          <w:color w:val="3333B3"/>
          <w:szCs w:val="24"/>
        </w:rPr>
        <w:t>6</w:t>
      </w:r>
      <w:r w:rsidRPr="00AE64AE">
        <w:rPr>
          <w:color w:val="3333B3"/>
          <w:szCs w:val="24"/>
        </w:rPr>
        <w:t xml:space="preserve">: </w:t>
      </w:r>
      <w:bookmarkEnd w:id="36"/>
      <w:r w:rsidR="0011180C" w:rsidRPr="0011180C">
        <w:rPr>
          <w:rFonts w:cstheme="minorBidi"/>
          <w:szCs w:val="24"/>
        </w:rPr>
        <w:t>Effects of a macroprudential policy tightening that lowers the loan-to-value (LTV) cap from 66% to 56%.</w:t>
      </w:r>
      <w:r>
        <w:rPr>
          <w:rFonts w:cstheme="minorBidi"/>
          <w:noProof/>
          <w:sz w:val="26"/>
          <w:szCs w:val="28"/>
          <w:lang w:bidi="he-IL"/>
        </w:rPr>
        <w:drawing>
          <wp:inline distT="0" distB="0" distL="0" distR="0" wp14:anchorId="2EFD37F2" wp14:editId="435805DF">
            <wp:extent cx="5270500" cy="4978400"/>
            <wp:effectExtent l="0" t="0" r="6350" b="0"/>
            <wp:docPr id="444695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95916" name="Picture 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270500" cy="4978400"/>
                    </a:xfrm>
                    <a:prstGeom prst="rect">
                      <a:avLst/>
                    </a:prstGeom>
                    <a:noFill/>
                    <a:ln>
                      <a:noFill/>
                    </a:ln>
                  </pic:spPr>
                </pic:pic>
              </a:graphicData>
            </a:graphic>
          </wp:inline>
        </w:drawing>
      </w:r>
    </w:p>
    <w:p w14:paraId="38EC2FB3" w14:textId="43AC41B0" w:rsidR="0028357B" w:rsidRPr="000C762B" w:rsidRDefault="001A66DC" w:rsidP="00F43871">
      <w:pPr>
        <w:pStyle w:val="BodyText"/>
        <w:spacing w:line="240" w:lineRule="auto"/>
        <w:rPr>
          <w:i/>
          <w:iCs/>
          <w:sz w:val="20"/>
          <w:szCs w:val="16"/>
          <w:lang w:bidi="he-IL"/>
        </w:rPr>
      </w:pPr>
      <w:r w:rsidRPr="000C762B">
        <w:rPr>
          <w:i/>
          <w:iCs/>
          <w:sz w:val="20"/>
          <w:szCs w:val="16"/>
          <w:lang w:bidi="he-IL"/>
        </w:rPr>
        <w:t xml:space="preserve">Notes: </w:t>
      </w:r>
      <w:r w:rsidRPr="000C762B">
        <w:rPr>
          <w:i/>
          <w:iCs/>
          <w:sz w:val="20"/>
          <w:szCs w:val="16"/>
        </w:rPr>
        <w:t xml:space="preserve">Variables </w:t>
      </w:r>
      <w:r w:rsidR="00DE1CFC" w:rsidRPr="000C762B">
        <w:rPr>
          <w:i/>
          <w:iCs/>
          <w:sz w:val="20"/>
          <w:szCs w:val="16"/>
        </w:rPr>
        <w:t>are expressed as</w:t>
      </w:r>
      <w:r w:rsidRPr="000C762B">
        <w:rPr>
          <w:i/>
          <w:iCs/>
          <w:sz w:val="20"/>
          <w:szCs w:val="16"/>
        </w:rPr>
        <w:t xml:space="preserve"> deviation</w:t>
      </w:r>
      <w:r w:rsidR="00DE1CFC" w:rsidRPr="000C762B">
        <w:rPr>
          <w:i/>
          <w:iCs/>
          <w:sz w:val="20"/>
          <w:szCs w:val="16"/>
        </w:rPr>
        <w:t>s</w:t>
      </w:r>
      <w:r w:rsidRPr="000C762B">
        <w:rPr>
          <w:i/>
          <w:iCs/>
          <w:sz w:val="20"/>
          <w:szCs w:val="16"/>
        </w:rPr>
        <w:t xml:space="preserve"> from </w:t>
      </w:r>
      <w:r w:rsidR="00DE1CFC" w:rsidRPr="000C762B">
        <w:rPr>
          <w:i/>
          <w:iCs/>
          <w:sz w:val="20"/>
          <w:szCs w:val="16"/>
        </w:rPr>
        <w:t>their steady state values and include</w:t>
      </w:r>
      <w:r w:rsidRPr="000C762B">
        <w:rPr>
          <w:i/>
          <w:iCs/>
          <w:sz w:val="20"/>
          <w:szCs w:val="16"/>
        </w:rPr>
        <w:t xml:space="preserve">: output, inflation, real central bank interest rate, investment </w:t>
      </w:r>
      <w:r w:rsidR="00B46FA6" w:rsidRPr="000C762B">
        <w:rPr>
          <w:i/>
          <w:iCs/>
          <w:sz w:val="20"/>
          <w:szCs w:val="16"/>
        </w:rPr>
        <w:t xml:space="preserve">in </w:t>
      </w:r>
      <w:r w:rsidR="00F43871">
        <w:rPr>
          <w:i/>
          <w:iCs/>
          <w:sz w:val="20"/>
          <w:szCs w:val="16"/>
        </w:rPr>
        <w:t>dwellings</w:t>
      </w:r>
      <w:r w:rsidRPr="000C762B">
        <w:rPr>
          <w:i/>
          <w:iCs/>
          <w:sz w:val="20"/>
          <w:szCs w:val="16"/>
        </w:rPr>
        <w:t xml:space="preserve">, ownership by unconstrained households, renting by unconstrained households, consumption by unconstrained households, </w:t>
      </w:r>
      <w:r w:rsidRPr="000C762B">
        <w:rPr>
          <w:i/>
          <w:iCs/>
          <w:sz w:val="20"/>
          <w:szCs w:val="16"/>
          <w:lang w:bidi="he-IL"/>
        </w:rPr>
        <w:t xml:space="preserve">stock of debt, </w:t>
      </w:r>
      <w:r w:rsidRPr="000C762B">
        <w:rPr>
          <w:i/>
          <w:iCs/>
          <w:sz w:val="20"/>
          <w:szCs w:val="16"/>
        </w:rPr>
        <w:t xml:space="preserve">ownership by constrained households, renting by constrained households, consumption by constrained households, new debt, </w:t>
      </w:r>
      <w:r w:rsidRPr="000C762B">
        <w:rPr>
          <w:i/>
          <w:iCs/>
          <w:sz w:val="20"/>
          <w:szCs w:val="16"/>
          <w:lang w:bidi="he-IL"/>
        </w:rPr>
        <w:t xml:space="preserve">nominal and real rent prices, real home prices and rent-to-home price ratio. The y-axes </w:t>
      </w:r>
      <w:r w:rsidR="00F43871">
        <w:rPr>
          <w:i/>
          <w:iCs/>
          <w:sz w:val="20"/>
          <w:szCs w:val="16"/>
          <w:lang w:bidi="he-IL"/>
        </w:rPr>
        <w:t>present</w:t>
      </w:r>
      <w:r w:rsidRPr="000C762B">
        <w:rPr>
          <w:i/>
          <w:iCs/>
          <w:sz w:val="20"/>
          <w:szCs w:val="16"/>
          <w:lang w:bidi="he-IL"/>
        </w:rPr>
        <w:t xml:space="preserve"> </w:t>
      </w:r>
      <w:r w:rsidR="00F43871">
        <w:rPr>
          <w:i/>
          <w:iCs/>
          <w:sz w:val="20"/>
          <w:szCs w:val="16"/>
          <w:lang w:bidi="he-IL"/>
        </w:rPr>
        <w:t xml:space="preserve">the </w:t>
      </w:r>
      <w:r w:rsidRPr="000C762B">
        <w:rPr>
          <w:i/>
          <w:iCs/>
          <w:sz w:val="20"/>
          <w:szCs w:val="16"/>
          <w:lang w:bidi="he-IL"/>
        </w:rPr>
        <w:t xml:space="preserve">percent deviation of each variable from its steady state in annualized terms, except for inflation </w:t>
      </w:r>
      <w:r w:rsidR="00B747E0" w:rsidRPr="000C762B">
        <w:rPr>
          <w:i/>
          <w:iCs/>
          <w:sz w:val="20"/>
          <w:szCs w:val="16"/>
          <w:lang w:bidi="he-IL"/>
        </w:rPr>
        <w:t>and interest rates, which are</w:t>
      </w:r>
      <w:r w:rsidRPr="000C762B">
        <w:rPr>
          <w:i/>
          <w:iCs/>
          <w:sz w:val="20"/>
          <w:szCs w:val="16"/>
          <w:lang w:bidi="he-IL"/>
        </w:rPr>
        <w:t xml:space="preserve"> </w:t>
      </w:r>
      <w:r w:rsidR="00B747E0" w:rsidRPr="000C762B">
        <w:rPr>
          <w:i/>
          <w:iCs/>
          <w:sz w:val="20"/>
          <w:szCs w:val="16"/>
          <w:lang w:bidi="he-IL"/>
        </w:rPr>
        <w:t xml:space="preserve">shown as </w:t>
      </w:r>
      <w:r w:rsidRPr="000C762B">
        <w:rPr>
          <w:i/>
          <w:iCs/>
          <w:sz w:val="20"/>
          <w:szCs w:val="16"/>
          <w:lang w:bidi="he-IL"/>
        </w:rPr>
        <w:t>percentage point deviations.</w:t>
      </w:r>
      <w:r w:rsidR="00DE1CFC" w:rsidRPr="000C762B">
        <w:rPr>
          <w:i/>
          <w:iCs/>
          <w:sz w:val="20"/>
          <w:szCs w:val="16"/>
          <w:lang w:bidi="he-IL"/>
        </w:rPr>
        <w:t xml:space="preserve"> </w:t>
      </w:r>
    </w:p>
    <w:p w14:paraId="57EEBFB7" w14:textId="186BFA4F" w:rsidR="00EC6C61" w:rsidRDefault="001A66DC" w:rsidP="00D1386A">
      <w:pPr>
        <w:pStyle w:val="Heading3"/>
        <w:rPr>
          <w:rFonts w:eastAsiaTheme="minorHAnsi"/>
        </w:rPr>
      </w:pPr>
      <w:r>
        <w:rPr>
          <w:rFonts w:eastAsiaTheme="minorHAnsi"/>
        </w:rPr>
        <w:t>Long</w:t>
      </w:r>
      <w:r w:rsidR="00D1386A">
        <w:rPr>
          <w:rFonts w:eastAsiaTheme="minorHAnsi"/>
        </w:rPr>
        <w:t>-</w:t>
      </w:r>
      <w:r>
        <w:rPr>
          <w:rFonts w:eastAsiaTheme="minorHAnsi"/>
        </w:rPr>
        <w:t>term effect</w:t>
      </w:r>
      <w:r w:rsidR="00F41E24">
        <w:rPr>
          <w:rFonts w:eastAsiaTheme="minorHAnsi"/>
        </w:rPr>
        <w:t xml:space="preserve"> of LTV shock</w:t>
      </w:r>
    </w:p>
    <w:p w14:paraId="7D3DB993" w14:textId="123E271E" w:rsidR="00866206" w:rsidRPr="00700947" w:rsidRDefault="00DF7B25" w:rsidP="00DF7B25">
      <w:pPr>
        <w:pStyle w:val="BodyText"/>
      </w:pPr>
      <w:r w:rsidRPr="00DF7B25">
        <w:t>In Section 6.4.1, we examined the short‑term dynamics of the main variables following the LTV shock. We now turn to the long‑run implications of this reduction for the steady‑state equilibrium.</w:t>
      </w:r>
    </w:p>
    <w:p w14:paraId="44054466" w14:textId="62452028" w:rsidR="00B82480" w:rsidRDefault="001A66DC">
      <w:pPr>
        <w:pStyle w:val="BodyText"/>
      </w:pPr>
      <w:r w:rsidRPr="00BA16F3">
        <w:t>In Table 2, we compare two steady states of the economy: the baseline calibration with an LTV</w:t>
      </w:r>
      <w:r w:rsidR="00D1386A">
        <w:t xml:space="preserve"> </w:t>
      </w:r>
      <w:r w:rsidR="00A027AB">
        <w:t>cap</w:t>
      </w:r>
      <w:r w:rsidRPr="00BA16F3">
        <w:t xml:space="preserve"> of 66%, and a scenario with tighter macroprudential policy featuring an LTV </w:t>
      </w:r>
      <w:r w:rsidR="00A027AB">
        <w:t>cap</w:t>
      </w:r>
      <w:r w:rsidR="00D1386A">
        <w:t xml:space="preserve"> </w:t>
      </w:r>
      <w:r w:rsidRPr="00BA16F3">
        <w:t>of 56%.</w:t>
      </w:r>
      <w:r w:rsidR="00070021">
        <w:t xml:space="preserve"> </w:t>
      </w:r>
      <w:r w:rsidR="00C232FD">
        <w:t xml:space="preserve">We </w:t>
      </w:r>
      <w:r w:rsidRPr="008E2B36">
        <w:t>interpret modifi</w:t>
      </w:r>
      <w:r w:rsidR="00D1386A">
        <w:t>cation of</w:t>
      </w:r>
      <w:r w:rsidRPr="008E2B36">
        <w:t xml:space="preserve"> the LTV limit </w:t>
      </w:r>
      <w:r w:rsidR="00D1386A">
        <w:t xml:space="preserve">as </w:t>
      </w:r>
      <w:r w:rsidR="001736BD" w:rsidRPr="001736BD">
        <w:t>emphasiz</w:t>
      </w:r>
      <w:r w:rsidR="00D1386A">
        <w:t>ing</w:t>
      </w:r>
      <w:r w:rsidR="001736BD" w:rsidRPr="001736BD">
        <w:t xml:space="preserve"> </w:t>
      </w:r>
      <w:r w:rsidRPr="008E2B36">
        <w:t xml:space="preserve">a structural shift in the economy </w:t>
      </w:r>
      <w:r w:rsidR="00D1386A">
        <w:t xml:space="preserve">rather </w:t>
      </w:r>
      <w:r w:rsidRPr="008E2B36">
        <w:t xml:space="preserve">than a dynamic policy action. We examine how a permanent decline in </w:t>
      </w:r>
      <w:r w:rsidRPr="008E2B36">
        <w:lastRenderedPageBreak/>
        <w:t xml:space="preserve">the LTV </w:t>
      </w:r>
      <w:r w:rsidR="00A027AB">
        <w:t>cap</w:t>
      </w:r>
      <w:r w:rsidR="00D1386A" w:rsidRPr="008E2B36">
        <w:t xml:space="preserve"> </w:t>
      </w:r>
      <w:r w:rsidR="00C26752">
        <w:t>affects the ratio of new</w:t>
      </w:r>
      <w:r w:rsidRPr="008E2B36">
        <w:t xml:space="preserve"> debt </w:t>
      </w:r>
      <w:r w:rsidR="00C26752">
        <w:t xml:space="preserve">to GDP </w:t>
      </w:r>
      <w:r w:rsidRPr="008E2B36">
        <w:t xml:space="preserve">and the composition between ownership and renting for two </w:t>
      </w:r>
      <w:r w:rsidR="00D1386A">
        <w:t xml:space="preserve">household </w:t>
      </w:r>
      <w:r w:rsidRPr="008E2B36">
        <w:t>types in the new steady state. However, we do not assess the impact of this permanent decline on the overall welfare of the economy, nor do we provide recommendations for the optimal LTV ratio.</w:t>
      </w:r>
    </w:p>
    <w:p w14:paraId="191DCA9C" w14:textId="7F8CB15F" w:rsidR="00BE6C7F" w:rsidRPr="0094631C" w:rsidRDefault="00853914" w:rsidP="00853914">
      <w:pPr>
        <w:pStyle w:val="BodyText"/>
        <w:rPr>
          <w:rFonts w:ascii="Segoe UI" w:eastAsia="Times New Roman" w:hAnsi="Segoe UI" w:cs="Segoe UI"/>
          <w:sz w:val="21"/>
          <w:szCs w:val="21"/>
        </w:rPr>
      </w:pPr>
      <w:r w:rsidRPr="00853914">
        <w:t>In the steady state, the LTV ratio has no impact on the relative price of rent to ownership (see the Technical Appendix). Consequently, any changes in the ownership‑to‑rent ratio and other related variables reflect non‑price adjustments.</w:t>
      </w:r>
      <w:r w:rsidR="001A66DC" w:rsidRPr="00BA16F3">
        <w:t xml:space="preserve"> </w:t>
      </w:r>
    </w:p>
    <w:p w14:paraId="26F27613" w14:textId="498059C9" w:rsidR="00055D5C" w:rsidRDefault="001A66DC" w:rsidP="006723A0">
      <w:pPr>
        <w:pStyle w:val="BodyText"/>
      </w:pPr>
      <w:r w:rsidRPr="00E474C6">
        <w:t xml:space="preserve">As expected, a stricter LTV (Loan-to-Value) restriction leads to a significant </w:t>
      </w:r>
      <w:r w:rsidR="00CE36D3">
        <w:t>24</w:t>
      </w:r>
      <w:r w:rsidRPr="00E474C6">
        <w:t xml:space="preserve">% decline in the ratio of new mortgages to GDP in the new steady state. </w:t>
      </w:r>
      <w:r w:rsidRPr="00055D5C">
        <w:t xml:space="preserve">Consequently, the renter-occupied housing rate among borrowers increases by </w:t>
      </w:r>
      <w:r w:rsidR="00A96434">
        <w:t>6</w:t>
      </w:r>
      <w:r w:rsidRPr="00055D5C">
        <w:t xml:space="preserve"> percentage points. This outcome is consistent with the negative relationship between the renter-occupied housing rate and the </w:t>
      </w:r>
      <w:r w:rsidR="006723A0">
        <w:t>LTV</w:t>
      </w:r>
      <w:r w:rsidRPr="00055D5C">
        <w:t xml:space="preserve"> ratio, as demonstrated in Proposition</w:t>
      </w:r>
      <w:r w:rsidRPr="00055D5C">
        <w:rPr>
          <w:rFonts w:ascii="Times New Roman" w:hAnsi="Times New Roman" w:cs="Times New Roman"/>
        </w:rPr>
        <w:t> </w:t>
      </w:r>
      <w:r w:rsidRPr="00055D5C">
        <w:t>1 of Section</w:t>
      </w:r>
      <w:r w:rsidRPr="00055D5C">
        <w:rPr>
          <w:rFonts w:ascii="Times New Roman" w:hAnsi="Times New Roman" w:cs="Times New Roman"/>
        </w:rPr>
        <w:t> </w:t>
      </w:r>
      <w:r w:rsidRPr="00055D5C">
        <w:t>4.3.</w:t>
      </w:r>
    </w:p>
    <w:p w14:paraId="6180F4D1" w14:textId="43B21CF6" w:rsidR="001F3D42" w:rsidRPr="008E2B36" w:rsidRDefault="001A66DC" w:rsidP="00702C28">
      <w:pPr>
        <w:pStyle w:val="BodyText"/>
      </w:pPr>
      <w:r>
        <w:t>T</w:t>
      </w:r>
      <w:r w:rsidRPr="007813C6">
        <w:t xml:space="preserve">he </w:t>
      </w:r>
      <w:r w:rsidR="00B21804" w:rsidRPr="00E474C6">
        <w:t xml:space="preserve">renter-occupied housing rate </w:t>
      </w:r>
      <w:r w:rsidRPr="007813C6">
        <w:t xml:space="preserve">among </w:t>
      </w:r>
      <w:r>
        <w:t>lenders</w:t>
      </w:r>
      <w:r w:rsidRPr="007813C6">
        <w:t xml:space="preserve"> remains unchanged in the steady state</w:t>
      </w:r>
      <w:r>
        <w:t xml:space="preserve"> (14.3%)</w:t>
      </w:r>
      <w:r w:rsidRPr="007813C6">
        <w:t xml:space="preserve">, as it is determined </w:t>
      </w:r>
      <w:r w:rsidR="00910631">
        <w:t xml:space="preserve">only </w:t>
      </w:r>
      <w:r w:rsidRPr="007813C6">
        <w:t xml:space="preserve">by </w:t>
      </w:r>
      <w:r w:rsidRPr="002C192D">
        <w:t>their</w:t>
      </w:r>
      <w:r w:rsidRPr="007813C6">
        <w:t xml:space="preserve"> preferences and </w:t>
      </w:r>
      <w:r>
        <w:t>a markup in the housing market</w:t>
      </w:r>
      <w:r w:rsidR="005E7011">
        <w:t xml:space="preserve"> (see Proposition 1 in Section 4.3.)</w:t>
      </w:r>
      <w:r w:rsidRPr="007813C6">
        <w:t xml:space="preserve">. </w:t>
      </w:r>
      <w:r w:rsidRPr="00CA2B21">
        <w:t xml:space="preserve">Overall, the </w:t>
      </w:r>
      <w:r w:rsidR="007E34F9" w:rsidRPr="00E474C6">
        <w:t xml:space="preserve">renter-occupied housing rate </w:t>
      </w:r>
      <w:r w:rsidRPr="00CA2B21">
        <w:t>in the economy increases fro</w:t>
      </w:r>
      <w:r>
        <w:t>m 1</w:t>
      </w:r>
      <w:r w:rsidR="006E4561">
        <w:t>7</w:t>
      </w:r>
      <w:r>
        <w:t>.</w:t>
      </w:r>
      <w:r w:rsidR="008607E1">
        <w:t>2</w:t>
      </w:r>
      <w:r>
        <w:t>% to 1</w:t>
      </w:r>
      <w:r w:rsidR="00E547B8">
        <w:t>7</w:t>
      </w:r>
      <w:r>
        <w:t>.</w:t>
      </w:r>
      <w:r w:rsidR="008607E1">
        <w:t>9</w:t>
      </w:r>
      <w:r>
        <w:t>%,</w:t>
      </w:r>
      <w:r w:rsidRPr="00CA2B21">
        <w:t xml:space="preserve"> </w:t>
      </w:r>
      <w:r>
        <w:t>but this eff</w:t>
      </w:r>
      <w:r w:rsidRPr="00CA2B21">
        <w:t>ect is solely via borrowers.</w:t>
      </w:r>
      <w:r w:rsidR="005F62D2">
        <w:t xml:space="preserve"> </w:t>
      </w:r>
    </w:p>
    <w:p w14:paraId="5444CD72" w14:textId="7E75B3DC" w:rsidR="00E25E8B" w:rsidRDefault="001A66DC" w:rsidP="00A54AA6">
      <w:pPr>
        <w:pStyle w:val="BodyText"/>
      </w:pPr>
      <w:r w:rsidRPr="00BE56CC">
        <w:t xml:space="preserve">Table 2's outcomes presume that LTV ratio changes do not affect the share of </w:t>
      </w:r>
      <w:r w:rsidR="00AD55B5">
        <w:t>borrowers</w:t>
      </w:r>
      <w:r w:rsidRPr="00BE56CC">
        <w:t xml:space="preserve">. While in practice, LTV changes might alter the </w:t>
      </w:r>
      <w:r w:rsidRPr="002C192D">
        <w:t>proportion</w:t>
      </w:r>
      <w:r w:rsidRPr="00BE56CC">
        <w:t xml:space="preserve"> of </w:t>
      </w:r>
      <w:r w:rsidR="00132021">
        <w:t>borrowers</w:t>
      </w:r>
      <w:r w:rsidR="00132021" w:rsidRPr="00BE56CC">
        <w:t xml:space="preserve"> </w:t>
      </w:r>
      <w:r w:rsidR="00132021">
        <w:t>(</w:t>
      </w:r>
      <w:r w:rsidRPr="00BE56CC">
        <w:t>constrained households</w:t>
      </w:r>
      <w:r w:rsidR="00132021">
        <w:t>)</w:t>
      </w:r>
      <w:r w:rsidRPr="00BE56CC">
        <w:t>, our model does not account for an endogenous shift between</w:t>
      </w:r>
      <w:r w:rsidR="00BB700F">
        <w:t xml:space="preserve"> the</w:t>
      </w:r>
      <w:r w:rsidRPr="00BE56CC">
        <w:t xml:space="preserve"> two groups (</w:t>
      </w:r>
      <w:r w:rsidR="008B46CB">
        <w:t>lenders</w:t>
      </w:r>
      <w:r w:rsidR="008B46CB" w:rsidRPr="00BE56CC">
        <w:t xml:space="preserve"> </w:t>
      </w:r>
      <w:r w:rsidRPr="00BE56CC">
        <w:t>to borrowers or vice</w:t>
      </w:r>
      <w:r w:rsidR="00D1386A">
        <w:t>-</w:t>
      </w:r>
      <w:r w:rsidRPr="00BE56CC">
        <w:t xml:space="preserve">versa). Such a transition would also imply a change in preferences for lenders and </w:t>
      </w:r>
      <w:r w:rsidR="00BD2321" w:rsidRPr="00BE56CC">
        <w:t>borrowers</w:t>
      </w:r>
      <w:r w:rsidRPr="00BE56CC">
        <w:t>, given their differing initial discount factors (</w:t>
      </w:r>
      <m:oMath>
        <m:r>
          <w:rPr>
            <w:rFonts w:ascii="Cambria Math" w:hAnsi="Cambria Math"/>
          </w:rPr>
          <m:t>β</m:t>
        </m:r>
      </m:oMath>
      <w:r w:rsidRPr="00BE56CC">
        <w:t xml:space="preserve">). </w:t>
      </w:r>
      <w:bookmarkEnd w:id="34"/>
    </w:p>
    <w:p w14:paraId="2B3CEA24" w14:textId="63C05A1C" w:rsidR="007649D3" w:rsidRDefault="001A66DC" w:rsidP="00454041">
      <w:pPr>
        <w:pStyle w:val="BodyText"/>
      </w:pPr>
      <w:r>
        <w:t>The final two columns of Table 2 present outcomes under an alternative scenario</w:t>
      </w:r>
      <w:r w:rsidR="0029133E">
        <w:t>,</w:t>
      </w:r>
      <w:r>
        <w:t xml:space="preserve"> where tighter macroprudential policy increases the fraction of constrained households from 3</w:t>
      </w:r>
      <w:r w:rsidR="008607E1">
        <w:t>1.</w:t>
      </w:r>
      <w:r>
        <w:t>2% to 35%. This assumption is based on external calibration from</w:t>
      </w:r>
      <w:r w:rsidR="00454041">
        <w:t xml:space="preserve"> </w:t>
      </w:r>
      <w:r w:rsidR="00454041" w:rsidRPr="00454041">
        <w:rPr>
          <w:color w:val="0081AD"/>
        </w:rPr>
        <w:fldChar w:fldCharType="begin"/>
      </w:r>
      <w:r w:rsidR="00454041" w:rsidRPr="00454041">
        <w:rPr>
          <w:color w:val="0081AD"/>
        </w:rPr>
        <w:instrText xml:space="preserve"> ADDIN ZOTERO_ITEM CSL_CITATION {"citationID":"fPq5vXqw","properties":{"unsorted":false,"formattedCitation":"Cohen and Ilek (2024)","plainCitation":"Cohen and Ilek (2024)","noteIndex":0},"citationItems":[{"id":1561,"uris":["http://zotero.org/users/6680486/items/MXHTM5XU"],"itemData":{"id":1561,"type":"manuscript","citation-key":"cohenEstimateShareFinancially2024","genre":"Unpublished Memo","language":"hebrew","note":"</w:instrText>
      </w:r>
      <w:r w:rsidR="00454041" w:rsidRPr="00454041">
        <w:rPr>
          <w:rFonts w:hint="cs"/>
          <w:color w:val="0081AD"/>
          <w:rtl/>
          <w:lang w:bidi="he-IL"/>
        </w:rPr>
        <w:instrText>משקי</w:instrText>
      </w:r>
      <w:r w:rsidR="00454041" w:rsidRPr="00454041">
        <w:rPr>
          <w:color w:val="0081AD"/>
          <w:rtl/>
          <w:lang w:bidi="he-IL"/>
        </w:rPr>
        <w:instrText xml:space="preserve"> </w:instrText>
      </w:r>
      <w:r w:rsidR="00454041" w:rsidRPr="00454041">
        <w:rPr>
          <w:rFonts w:hint="cs"/>
          <w:color w:val="0081AD"/>
          <w:rtl/>
          <w:lang w:bidi="he-IL"/>
        </w:rPr>
        <w:instrText>בית</w:instrText>
      </w:r>
      <w:r w:rsidR="00454041" w:rsidRPr="00454041">
        <w:rPr>
          <w:color w:val="0081AD"/>
          <w:rtl/>
          <w:lang w:bidi="he-IL"/>
        </w:rPr>
        <w:instrText xml:space="preserve"> </w:instrText>
      </w:r>
      <w:r w:rsidR="00454041" w:rsidRPr="00454041">
        <w:rPr>
          <w:rFonts w:hint="cs"/>
          <w:color w:val="0081AD"/>
          <w:rtl/>
          <w:lang w:bidi="he-IL"/>
        </w:rPr>
        <w:instrText>מוגבלים</w:instrText>
      </w:r>
      <w:r w:rsidR="00454041" w:rsidRPr="00454041">
        <w:rPr>
          <w:color w:val="0081AD"/>
          <w:rtl/>
          <w:lang w:bidi="he-IL"/>
        </w:rPr>
        <w:instrText xml:space="preserve"> 13_03_2024</w:instrText>
      </w:r>
      <w:r w:rsidR="00454041" w:rsidRPr="00454041">
        <w:rPr>
          <w:color w:val="0081AD"/>
        </w:rPr>
        <w:instrText xml:space="preserve">.docx","publisher-place":"Bank of Israel","title":"An estimate of the share of financially constrained households in Israel (Hebrew)","author":[{"family":"Cohen","given":"Nimrod"},{"family":"Ilek","given":"Alex"}],"issued":{"date-parts":[["2024",3,13]]}}}],"schema":"https://github.com/citation-style-language/schema/raw/master/csl-citation.json"} </w:instrText>
      </w:r>
      <w:r w:rsidR="00454041" w:rsidRPr="00454041">
        <w:rPr>
          <w:color w:val="0081AD"/>
        </w:rPr>
        <w:fldChar w:fldCharType="separate"/>
      </w:r>
      <w:r w:rsidR="00454041" w:rsidRPr="00454041">
        <w:rPr>
          <w:rFonts w:ascii="Utopia" w:hAnsi="Utopia"/>
          <w:color w:val="0081AD"/>
        </w:rPr>
        <w:t>Cohen and Ilek (2024)</w:t>
      </w:r>
      <w:r w:rsidR="00454041" w:rsidRPr="00454041">
        <w:rPr>
          <w:color w:val="0081AD"/>
        </w:rPr>
        <w:fldChar w:fldCharType="end"/>
      </w:r>
      <w:r>
        <w:t xml:space="preserve">. The results demonstrate only minor deviations from the original scenario, despite the increase in </w:t>
      </w:r>
      <w:r w:rsidR="00933613">
        <w:t xml:space="preserve">the </w:t>
      </w:r>
      <w:r w:rsidR="00C0222D">
        <w:t xml:space="preserve">fraction </w:t>
      </w:r>
      <w:r w:rsidR="00933613">
        <w:t xml:space="preserve">of the </w:t>
      </w:r>
      <w:r>
        <w:t>constrained households.</w:t>
      </w:r>
    </w:p>
    <w:p w14:paraId="5AEF365A" w14:textId="3AEF1532" w:rsidR="00BE6C7F" w:rsidRPr="00102C7E" w:rsidRDefault="001A66DC" w:rsidP="00962C2F">
      <w:pPr>
        <w:pStyle w:val="Caption"/>
        <w:rPr>
          <w:color w:val="3333B3"/>
          <w:szCs w:val="24"/>
        </w:rPr>
      </w:pPr>
      <w:r w:rsidRPr="00102C7E">
        <w:rPr>
          <w:color w:val="3333B3"/>
          <w:szCs w:val="24"/>
        </w:rPr>
        <w:t xml:space="preserve">Table 2: </w:t>
      </w:r>
      <w:r w:rsidR="00962C2F" w:rsidRPr="00962C2F">
        <w:rPr>
          <w:rFonts w:cstheme="minorBidi"/>
          <w:iCs/>
          <w:szCs w:val="24"/>
        </w:rPr>
        <w:t>Comparison of Steady‑State Outcomes under Different LTV Caps: Debt‑to‑GDP Ratio and Renter‑Occupied Housing Rate</w:t>
      </w:r>
    </w:p>
    <w:tbl>
      <w:tblPr>
        <w:tblStyle w:val="Table"/>
        <w:tblW w:w="9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5"/>
        <w:gridCol w:w="1190"/>
        <w:gridCol w:w="1247"/>
        <w:gridCol w:w="1247"/>
        <w:gridCol w:w="1247"/>
        <w:gridCol w:w="1247"/>
      </w:tblGrid>
      <w:tr w:rsidR="00285375" w14:paraId="6576C786" w14:textId="77777777" w:rsidTr="00285375">
        <w:trPr>
          <w:cnfStyle w:val="100000000000" w:firstRow="1" w:lastRow="0" w:firstColumn="0" w:lastColumn="0" w:oddVBand="0" w:evenVBand="0" w:oddHBand="0" w:evenHBand="0" w:firstRowFirstColumn="0" w:firstRowLastColumn="0" w:lastRowFirstColumn="0" w:lastRowLastColumn="0"/>
          <w:tblHeader/>
          <w:jc w:val="center"/>
        </w:trPr>
        <w:tc>
          <w:tcPr>
            <w:tcW w:w="2835" w:type="dxa"/>
            <w:tcBorders>
              <w:bottom w:val="none" w:sz="0" w:space="0" w:color="auto"/>
            </w:tcBorders>
          </w:tcPr>
          <w:p w14:paraId="2604FB48" w14:textId="77777777" w:rsidR="00BE6C7F" w:rsidRDefault="00BE6C7F" w:rsidP="005349D7">
            <w:pPr>
              <w:pStyle w:val="Compact"/>
            </w:pPr>
          </w:p>
        </w:tc>
        <w:tc>
          <w:tcPr>
            <w:tcW w:w="1190" w:type="dxa"/>
            <w:tcBorders>
              <w:bottom w:val="none" w:sz="0" w:space="0" w:color="auto"/>
            </w:tcBorders>
          </w:tcPr>
          <w:p w14:paraId="2828B1CE" w14:textId="77777777" w:rsidR="00BE6C7F" w:rsidRDefault="001A66DC" w:rsidP="00A015BF">
            <w:pPr>
              <w:pStyle w:val="Compact"/>
              <w:jc w:val="center"/>
            </w:pPr>
            <w:r>
              <w:t>Baseline</w:t>
            </w:r>
          </w:p>
        </w:tc>
        <w:tc>
          <w:tcPr>
            <w:tcW w:w="1247" w:type="dxa"/>
            <w:tcBorders>
              <w:bottom w:val="none" w:sz="0" w:space="0" w:color="auto"/>
            </w:tcBorders>
          </w:tcPr>
          <w:p w14:paraId="3C39EB9A" w14:textId="77777777" w:rsidR="00BE6C7F" w:rsidRDefault="001A66DC" w:rsidP="00A015BF">
            <w:pPr>
              <w:pStyle w:val="Compact"/>
              <w:jc w:val="center"/>
            </w:pPr>
            <w:bookmarkStart w:id="37" w:name="OLE_LINK17"/>
            <w:r>
              <w:t>Tight LTV</w:t>
            </w:r>
            <w:bookmarkEnd w:id="37"/>
          </w:p>
        </w:tc>
        <w:tc>
          <w:tcPr>
            <w:tcW w:w="1247" w:type="dxa"/>
            <w:tcBorders>
              <w:bottom w:val="none" w:sz="0" w:space="0" w:color="auto"/>
            </w:tcBorders>
            <w:vAlign w:val="center"/>
          </w:tcPr>
          <w:p w14:paraId="15103C87" w14:textId="77777777" w:rsidR="00BE6C7F" w:rsidRPr="00D57137" w:rsidRDefault="001A66DC" w:rsidP="00A015BF">
            <w:pPr>
              <w:pStyle w:val="Compact"/>
              <w:jc w:val="center"/>
            </w:pPr>
            <w:r w:rsidRPr="00D57137">
              <w:t>Change</w:t>
            </w:r>
          </w:p>
        </w:tc>
        <w:tc>
          <w:tcPr>
            <w:tcW w:w="1247" w:type="dxa"/>
            <w:tcBorders>
              <w:bottom w:val="none" w:sz="0" w:space="0" w:color="auto"/>
            </w:tcBorders>
          </w:tcPr>
          <w:p w14:paraId="2AEEC8C2" w14:textId="77777777" w:rsidR="00BE6C7F" w:rsidRPr="00996188" w:rsidRDefault="001A66DC" w:rsidP="00A015BF">
            <w:pPr>
              <w:pStyle w:val="Compact"/>
              <w:jc w:val="center"/>
            </w:pPr>
            <w:r w:rsidRPr="00996188">
              <w:t>Tight LTV*</w:t>
            </w:r>
          </w:p>
        </w:tc>
        <w:tc>
          <w:tcPr>
            <w:tcW w:w="1247" w:type="dxa"/>
            <w:tcBorders>
              <w:bottom w:val="none" w:sz="0" w:space="0" w:color="auto"/>
            </w:tcBorders>
            <w:vAlign w:val="center"/>
          </w:tcPr>
          <w:p w14:paraId="2598796B" w14:textId="77777777" w:rsidR="00BE6C7F" w:rsidRPr="00D57137" w:rsidRDefault="001A66DC" w:rsidP="00A015BF">
            <w:pPr>
              <w:pStyle w:val="Compact"/>
              <w:jc w:val="center"/>
            </w:pPr>
            <w:r w:rsidRPr="00D57137">
              <w:t>Change</w:t>
            </w:r>
            <w:r>
              <w:t>*</w:t>
            </w:r>
          </w:p>
        </w:tc>
      </w:tr>
      <w:tr w:rsidR="00285375" w14:paraId="050721F3" w14:textId="77777777" w:rsidTr="00285375">
        <w:trPr>
          <w:jc w:val="center"/>
        </w:trPr>
        <w:tc>
          <w:tcPr>
            <w:tcW w:w="2835" w:type="dxa"/>
          </w:tcPr>
          <w:p w14:paraId="18D14EBA" w14:textId="77777777" w:rsidR="00BE6C7F" w:rsidRPr="00996188" w:rsidRDefault="001A66DC" w:rsidP="00F5749C">
            <w:pPr>
              <w:pStyle w:val="Compact"/>
              <w:jc w:val="center"/>
              <w:rPr>
                <w:rFonts w:ascii="Utopia" w:eastAsia="Utopia" w:hAnsi="Utopia" w:cs="Calibri"/>
                <w:b/>
              </w:rPr>
            </w:pPr>
            <w:r w:rsidRPr="00996188">
              <w:t>Share of constrained households</w:t>
            </w:r>
            <w:r w:rsidR="00F5749C">
              <w:t>,</w:t>
            </w:r>
            <w:r w:rsidRPr="00996188">
              <w:t xml:space="preserve"> </w:t>
            </w:r>
            <m:oMath>
              <m:r>
                <w:rPr>
                  <w:rFonts w:ascii="Cambria Math" w:hAnsi="Cambria Math"/>
                </w:rPr>
                <m:t>1-τ</m:t>
              </m:r>
            </m:oMath>
          </w:p>
        </w:tc>
        <w:tc>
          <w:tcPr>
            <w:tcW w:w="1190" w:type="dxa"/>
            <w:vAlign w:val="center"/>
          </w:tcPr>
          <w:p w14:paraId="30C5F064" w14:textId="77777777" w:rsidR="00BE6C7F" w:rsidRPr="00996188" w:rsidRDefault="001A66DC" w:rsidP="00A015BF">
            <w:pPr>
              <w:pStyle w:val="Compact"/>
              <w:jc w:val="center"/>
            </w:pPr>
            <w:r>
              <w:rPr>
                <w:rFonts w:hint="cs"/>
                <w:rtl/>
              </w:rPr>
              <w:t>31.2</w:t>
            </w:r>
            <w:r>
              <w:t>%</w:t>
            </w:r>
          </w:p>
        </w:tc>
        <w:tc>
          <w:tcPr>
            <w:tcW w:w="1247" w:type="dxa"/>
            <w:vAlign w:val="center"/>
          </w:tcPr>
          <w:p w14:paraId="34A3F65C" w14:textId="77777777" w:rsidR="00BE6C7F" w:rsidRPr="00996188" w:rsidRDefault="001A66DC" w:rsidP="00A015BF">
            <w:pPr>
              <w:pStyle w:val="Compact"/>
              <w:jc w:val="center"/>
            </w:pPr>
            <w:r>
              <w:t>31.2%</w:t>
            </w:r>
          </w:p>
        </w:tc>
        <w:tc>
          <w:tcPr>
            <w:tcW w:w="1247" w:type="dxa"/>
            <w:vAlign w:val="center"/>
          </w:tcPr>
          <w:p w14:paraId="112EEC95" w14:textId="77777777" w:rsidR="00BE6C7F" w:rsidRPr="00EB2C32" w:rsidRDefault="001A66DC" w:rsidP="00A015BF">
            <w:pPr>
              <w:pStyle w:val="Compact"/>
              <w:jc w:val="center"/>
              <w:rPr>
                <w:color w:val="7030A0"/>
              </w:rPr>
            </w:pPr>
            <w:r>
              <w:t>-</w:t>
            </w:r>
          </w:p>
        </w:tc>
        <w:tc>
          <w:tcPr>
            <w:tcW w:w="1247" w:type="dxa"/>
            <w:vAlign w:val="center"/>
          </w:tcPr>
          <w:p w14:paraId="5036DCB4" w14:textId="77777777" w:rsidR="00BE6C7F" w:rsidRPr="00EB2C32" w:rsidRDefault="001A66DC" w:rsidP="00A015BF">
            <w:pPr>
              <w:pStyle w:val="Compact"/>
              <w:bidi/>
              <w:jc w:val="center"/>
              <w:rPr>
                <w:rtl/>
                <w:lang w:bidi="he-IL"/>
              </w:rPr>
            </w:pPr>
            <w:r>
              <w:t>35</w:t>
            </w:r>
            <w:r w:rsidRPr="00EB2C32">
              <w:t>%</w:t>
            </w:r>
          </w:p>
        </w:tc>
        <w:tc>
          <w:tcPr>
            <w:tcW w:w="1247" w:type="dxa"/>
            <w:vAlign w:val="center"/>
          </w:tcPr>
          <w:p w14:paraId="63BDD7A8" w14:textId="77777777" w:rsidR="00BE6C7F" w:rsidRPr="00EB2C32" w:rsidRDefault="001A66DC" w:rsidP="004F00A7">
            <w:pPr>
              <w:pStyle w:val="Compact"/>
              <w:jc w:val="center"/>
              <w:rPr>
                <w:b/>
                <w:bCs/>
                <w:color w:val="FF0000"/>
              </w:rPr>
            </w:pPr>
            <w:r w:rsidRPr="007A60E8">
              <w:t>3.</w:t>
            </w:r>
            <w:r w:rsidR="004F00A7">
              <w:t>8</w:t>
            </w:r>
            <w:r w:rsidR="00CE47AC">
              <w:t xml:space="preserve"> p.p</w:t>
            </w:r>
          </w:p>
        </w:tc>
      </w:tr>
      <w:tr w:rsidR="00285375" w14:paraId="75CB215B" w14:textId="77777777" w:rsidTr="00285375">
        <w:trPr>
          <w:jc w:val="center"/>
        </w:trPr>
        <w:tc>
          <w:tcPr>
            <w:tcW w:w="2835" w:type="dxa"/>
          </w:tcPr>
          <w:p w14:paraId="7DAE198D" w14:textId="77777777" w:rsidR="00BE6C7F" w:rsidRPr="00814B95" w:rsidRDefault="001A66DC" w:rsidP="007D5D3E">
            <w:pPr>
              <w:pStyle w:val="Compact"/>
              <w:jc w:val="center"/>
            </w:pPr>
            <m:oMath>
              <m:r>
                <w:rPr>
                  <w:rFonts w:ascii="Cambria Math" w:hAnsi="Cambria Math"/>
                </w:rPr>
                <m:t>LTV</m:t>
              </m:r>
            </m:oMath>
            <w:r>
              <w:t xml:space="preserve"> </w:t>
            </w:r>
            <w:r w:rsidRPr="000814CF">
              <w:t>limit</w:t>
            </w:r>
          </w:p>
        </w:tc>
        <w:tc>
          <w:tcPr>
            <w:tcW w:w="1190" w:type="dxa"/>
            <w:vAlign w:val="center"/>
          </w:tcPr>
          <w:p w14:paraId="1B1731DB" w14:textId="77777777" w:rsidR="00BE6C7F" w:rsidRPr="00814B95" w:rsidRDefault="001A66DC" w:rsidP="00A015BF">
            <w:pPr>
              <w:pStyle w:val="Compact"/>
              <w:jc w:val="center"/>
            </w:pPr>
            <w:r>
              <w:t>66</w:t>
            </w:r>
            <w:r w:rsidRPr="00814B95">
              <w:t>%</w:t>
            </w:r>
          </w:p>
        </w:tc>
        <w:tc>
          <w:tcPr>
            <w:tcW w:w="1247" w:type="dxa"/>
            <w:vAlign w:val="center"/>
          </w:tcPr>
          <w:p w14:paraId="63E06D4E" w14:textId="77777777" w:rsidR="00BE6C7F" w:rsidRPr="00814B95" w:rsidRDefault="001A66DC" w:rsidP="00A015BF">
            <w:pPr>
              <w:pStyle w:val="Compact"/>
              <w:jc w:val="center"/>
            </w:pPr>
            <w:r>
              <w:t>56</w:t>
            </w:r>
            <w:r w:rsidRPr="00814B95">
              <w:t>%</w:t>
            </w:r>
          </w:p>
        </w:tc>
        <w:tc>
          <w:tcPr>
            <w:tcW w:w="1247" w:type="dxa"/>
            <w:vAlign w:val="center"/>
          </w:tcPr>
          <w:p w14:paraId="33CE45DE" w14:textId="77777777" w:rsidR="00BE6C7F" w:rsidRPr="00D57137" w:rsidRDefault="001A66DC" w:rsidP="00A015BF">
            <w:pPr>
              <w:pStyle w:val="Compact"/>
              <w:jc w:val="center"/>
            </w:pPr>
            <w:r w:rsidRPr="00D57137">
              <w:t>-</w:t>
            </w:r>
            <w:r>
              <w:t>1</w:t>
            </w:r>
            <w:r w:rsidR="00CE47AC">
              <w:t>0 p.p</w:t>
            </w:r>
          </w:p>
        </w:tc>
        <w:tc>
          <w:tcPr>
            <w:tcW w:w="1247" w:type="dxa"/>
            <w:vAlign w:val="center"/>
          </w:tcPr>
          <w:p w14:paraId="0B5B2B25" w14:textId="77777777" w:rsidR="00BE6C7F" w:rsidRPr="00996188" w:rsidRDefault="001A66DC" w:rsidP="00A015BF">
            <w:pPr>
              <w:pStyle w:val="Compact"/>
              <w:jc w:val="center"/>
            </w:pPr>
            <w:r>
              <w:t>56%</w:t>
            </w:r>
          </w:p>
        </w:tc>
        <w:tc>
          <w:tcPr>
            <w:tcW w:w="1247" w:type="dxa"/>
            <w:vAlign w:val="center"/>
          </w:tcPr>
          <w:p w14:paraId="4392E795" w14:textId="77777777" w:rsidR="00BE6C7F" w:rsidRPr="00D57137" w:rsidRDefault="001A66DC" w:rsidP="00A015BF">
            <w:pPr>
              <w:pStyle w:val="Compact"/>
              <w:jc w:val="center"/>
            </w:pPr>
            <w:r w:rsidRPr="00D57137">
              <w:t>-</w:t>
            </w:r>
            <w:r>
              <w:t>10 p.p</w:t>
            </w:r>
          </w:p>
        </w:tc>
      </w:tr>
      <w:tr w:rsidR="00285375" w14:paraId="40D4F93F" w14:textId="77777777" w:rsidTr="00285375">
        <w:trPr>
          <w:jc w:val="center"/>
        </w:trPr>
        <w:tc>
          <w:tcPr>
            <w:tcW w:w="2835" w:type="dxa"/>
          </w:tcPr>
          <w:p w14:paraId="0CCBA549" w14:textId="77777777" w:rsidR="00135BEB" w:rsidRPr="00135BEB" w:rsidRDefault="001A66DC" w:rsidP="00146579">
            <w:pPr>
              <w:pStyle w:val="Compact"/>
              <w:jc w:val="center"/>
            </w:pPr>
            <w:r>
              <w:lastRenderedPageBreak/>
              <w:t>New debt to GDP ratio</w:t>
            </w:r>
            <m:oMath>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'NEW</m:t>
                      </m:r>
                    </m:sup>
                  </m:sSup>
                </m:num>
                <m:den>
                  <m:r>
                    <w:rPr>
                      <w:rFonts w:ascii="Cambria Math" w:hAnsi="Cambria Math"/>
                    </w:rPr>
                    <m:t>Y</m:t>
                  </m:r>
                </m:den>
              </m:f>
            </m:oMath>
          </w:p>
        </w:tc>
        <w:tc>
          <w:tcPr>
            <w:tcW w:w="1190" w:type="dxa"/>
            <w:vAlign w:val="center"/>
          </w:tcPr>
          <w:p w14:paraId="7B90937E" w14:textId="77777777" w:rsidR="00BE6C7F" w:rsidRDefault="00BE6C7F" w:rsidP="00A015BF">
            <w:pPr>
              <w:pStyle w:val="Compact"/>
              <w:jc w:val="center"/>
              <w:rPr>
                <w:lang w:bidi="he-IL"/>
              </w:rPr>
            </w:pPr>
          </w:p>
        </w:tc>
        <w:tc>
          <w:tcPr>
            <w:tcW w:w="1247" w:type="dxa"/>
            <w:vAlign w:val="center"/>
          </w:tcPr>
          <w:p w14:paraId="74774EE4" w14:textId="77777777" w:rsidR="00241062" w:rsidRDefault="00241062" w:rsidP="007D18C7">
            <w:pPr>
              <w:pStyle w:val="Compact"/>
              <w:jc w:val="center"/>
            </w:pPr>
          </w:p>
        </w:tc>
        <w:tc>
          <w:tcPr>
            <w:tcW w:w="1247" w:type="dxa"/>
            <w:vAlign w:val="center"/>
          </w:tcPr>
          <w:p w14:paraId="201A866D" w14:textId="77777777" w:rsidR="00BE6C7F" w:rsidRPr="00D57137" w:rsidRDefault="001A66DC" w:rsidP="00FE6854">
            <w:pPr>
              <w:pStyle w:val="Compact"/>
              <w:jc w:val="center"/>
            </w:pPr>
            <w:r w:rsidRPr="00D57137">
              <w:t>-</w:t>
            </w:r>
            <w:r w:rsidR="00CE7D9C">
              <w:t>24</w:t>
            </w:r>
            <w:r w:rsidRPr="00D57137">
              <w:t>%</w:t>
            </w:r>
          </w:p>
        </w:tc>
        <w:tc>
          <w:tcPr>
            <w:tcW w:w="1247" w:type="dxa"/>
            <w:vAlign w:val="center"/>
          </w:tcPr>
          <w:p w14:paraId="34A3D858" w14:textId="77777777" w:rsidR="00153BB3" w:rsidRPr="00996188" w:rsidRDefault="00153BB3" w:rsidP="00153BB3">
            <w:pPr>
              <w:pStyle w:val="Compact"/>
              <w:jc w:val="center"/>
            </w:pPr>
          </w:p>
        </w:tc>
        <w:tc>
          <w:tcPr>
            <w:tcW w:w="1247" w:type="dxa"/>
            <w:vAlign w:val="center"/>
          </w:tcPr>
          <w:p w14:paraId="0CAF6C28" w14:textId="77777777" w:rsidR="00BE6C7F" w:rsidRPr="00D57137" w:rsidRDefault="001A66DC" w:rsidP="00FD02DF">
            <w:pPr>
              <w:pStyle w:val="Compact"/>
              <w:jc w:val="center"/>
            </w:pPr>
            <w:r>
              <w:t>-</w:t>
            </w:r>
            <w:r w:rsidR="00FD02DF">
              <w:t>1</w:t>
            </w:r>
            <w:r w:rsidR="00976071">
              <w:t>4</w:t>
            </w:r>
            <w:r w:rsidRPr="00D57137">
              <w:t>%</w:t>
            </w:r>
          </w:p>
        </w:tc>
      </w:tr>
      <w:tr w:rsidR="00285375" w14:paraId="2F09A41D" w14:textId="77777777" w:rsidTr="00285375">
        <w:trPr>
          <w:jc w:val="center"/>
        </w:trPr>
        <w:tc>
          <w:tcPr>
            <w:tcW w:w="2835" w:type="dxa"/>
          </w:tcPr>
          <w:p w14:paraId="456AC100" w14:textId="77777777" w:rsidR="00BE6C7F" w:rsidRDefault="001A66DC" w:rsidP="007D5D3E">
            <w:pPr>
              <w:pStyle w:val="Compact"/>
              <w:jc w:val="center"/>
            </w:pPr>
            <w:r>
              <w:rPr>
                <w:rFonts w:eastAsiaTheme="minorEastAsia"/>
              </w:rPr>
              <w:t xml:space="preserve">Rent ratio of lenders </w:t>
            </w:r>
            <m:oMath>
              <m:f>
                <m:fPr>
                  <m:ctrlPr>
                    <w:rPr>
                      <w:rFonts w:ascii="Cambria Math" w:hAnsi="Cambria Math"/>
                      <w:i/>
                    </w:rPr>
                  </m:ctrlPr>
                </m:fPr>
                <m:num>
                  <m:sSub>
                    <m:sSubPr>
                      <m:ctrlPr>
                        <w:rPr>
                          <w:rFonts w:ascii="Cambria Math" w:hAnsi="Cambria Math"/>
                        </w:rPr>
                      </m:ctrlPr>
                    </m:sSubPr>
                    <m:e>
                      <m:r>
                        <w:rPr>
                          <w:rFonts w:ascii="Cambria Math" w:hAnsi="Cambria Math"/>
                        </w:rPr>
                        <m:t>h</m:t>
                      </m:r>
                    </m:e>
                    <m:sub>
                      <m:r>
                        <w:rPr>
                          <w:rFonts w:ascii="Cambria Math" w:hAnsi="Cambria Math"/>
                        </w:rPr>
                        <m:t>r</m:t>
                      </m:r>
                    </m:sub>
                  </m:sSub>
                </m:num>
                <m:den>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o</m:t>
                      </m:r>
                    </m:sub>
                  </m:sSub>
                </m:den>
              </m:f>
            </m:oMath>
          </w:p>
        </w:tc>
        <w:tc>
          <w:tcPr>
            <w:tcW w:w="1190" w:type="dxa"/>
            <w:vAlign w:val="center"/>
          </w:tcPr>
          <w:p w14:paraId="2B7AF20C" w14:textId="77777777" w:rsidR="00BE6C7F" w:rsidRDefault="001A66DC" w:rsidP="00A538F0">
            <w:pPr>
              <w:pStyle w:val="Compact"/>
              <w:jc w:val="center"/>
              <w:rPr>
                <w:rtl/>
                <w:lang w:bidi="he-IL"/>
              </w:rPr>
            </w:pPr>
            <w:r>
              <w:t>1</w:t>
            </w:r>
            <w:r w:rsidR="00A538F0">
              <w:t>4</w:t>
            </w:r>
            <w:r>
              <w:t>.</w:t>
            </w:r>
            <w:r w:rsidR="00A538F0">
              <w:t>3</w:t>
            </w:r>
            <w:r>
              <w:t>%</w:t>
            </w:r>
          </w:p>
        </w:tc>
        <w:tc>
          <w:tcPr>
            <w:tcW w:w="1247" w:type="dxa"/>
            <w:vAlign w:val="center"/>
          </w:tcPr>
          <w:p w14:paraId="26A4700E" w14:textId="77777777" w:rsidR="00BE6C7F" w:rsidRDefault="001A66DC" w:rsidP="00A538F0">
            <w:pPr>
              <w:pStyle w:val="Compact"/>
              <w:jc w:val="center"/>
              <w:rPr>
                <w:lang w:bidi="he-IL"/>
              </w:rPr>
            </w:pPr>
            <w:r>
              <w:t>1</w:t>
            </w:r>
            <w:r w:rsidR="00A538F0">
              <w:t>4</w:t>
            </w:r>
            <w:r>
              <w:t>.</w:t>
            </w:r>
            <w:r w:rsidR="00A538F0">
              <w:t>3</w:t>
            </w:r>
            <w:r w:rsidRPr="00337B74">
              <w:t>%</w:t>
            </w:r>
          </w:p>
        </w:tc>
        <w:tc>
          <w:tcPr>
            <w:tcW w:w="1247" w:type="dxa"/>
            <w:vAlign w:val="center"/>
          </w:tcPr>
          <w:p w14:paraId="0D6B9DAF" w14:textId="77777777" w:rsidR="00BE6C7F" w:rsidRPr="00824DDA" w:rsidRDefault="001A66DC" w:rsidP="00A015BF">
            <w:pPr>
              <w:pStyle w:val="Compact"/>
              <w:jc w:val="center"/>
            </w:pPr>
            <w:r>
              <w:t>-</w:t>
            </w:r>
          </w:p>
        </w:tc>
        <w:tc>
          <w:tcPr>
            <w:tcW w:w="1247" w:type="dxa"/>
            <w:vAlign w:val="center"/>
          </w:tcPr>
          <w:p w14:paraId="748CF8D2" w14:textId="77777777" w:rsidR="00BE6C7F" w:rsidRPr="00EE623D" w:rsidRDefault="001A66DC" w:rsidP="00A538F0">
            <w:pPr>
              <w:pStyle w:val="Compact"/>
              <w:jc w:val="center"/>
              <w:rPr>
                <w:b/>
                <w:bCs/>
                <w:color w:val="7030A0"/>
              </w:rPr>
            </w:pPr>
            <w:r>
              <w:t>1</w:t>
            </w:r>
            <w:r w:rsidR="00A538F0">
              <w:t>4</w:t>
            </w:r>
            <w:r>
              <w:t>.</w:t>
            </w:r>
            <w:r w:rsidR="00A538F0">
              <w:t>3</w:t>
            </w:r>
            <w:r w:rsidRPr="006F4096">
              <w:t>%</w:t>
            </w:r>
          </w:p>
        </w:tc>
        <w:tc>
          <w:tcPr>
            <w:tcW w:w="1247" w:type="dxa"/>
            <w:vAlign w:val="center"/>
          </w:tcPr>
          <w:p w14:paraId="5F327D9C" w14:textId="77777777" w:rsidR="00BE6C7F" w:rsidRPr="00824DDA" w:rsidRDefault="001A66DC" w:rsidP="00A015BF">
            <w:pPr>
              <w:pStyle w:val="Compact"/>
              <w:jc w:val="center"/>
            </w:pPr>
            <w:r w:rsidRPr="00824DDA">
              <w:t>-</w:t>
            </w:r>
          </w:p>
        </w:tc>
      </w:tr>
      <w:tr w:rsidR="00285375" w14:paraId="442D6B89" w14:textId="77777777" w:rsidTr="00285375">
        <w:trPr>
          <w:jc w:val="center"/>
        </w:trPr>
        <w:tc>
          <w:tcPr>
            <w:tcW w:w="2835" w:type="dxa"/>
          </w:tcPr>
          <w:p w14:paraId="1FE9A93B" w14:textId="77777777" w:rsidR="00BE6C7F" w:rsidRDefault="001A66DC" w:rsidP="007D5D3E">
            <w:pPr>
              <w:pStyle w:val="Compact"/>
              <w:jc w:val="center"/>
            </w:pPr>
            <w:r>
              <w:rPr>
                <w:rFonts w:eastAsiaTheme="minorEastAsia"/>
              </w:rPr>
              <w:t xml:space="preserve">Rent ratio of borrowers </w:t>
            </w:r>
            <m:oMath>
              <m:f>
                <m:fPr>
                  <m:ctrlPr>
                    <w:rPr>
                      <w:rFonts w:ascii="Cambria Math" w:hAnsi="Cambria Math"/>
                      <w:i/>
                    </w:rPr>
                  </m:ctrlPr>
                </m:fPr>
                <m:num>
                  <m:sSub>
                    <m:sSubPr>
                      <m:ctrlPr>
                        <w:rPr>
                          <w:rFonts w:ascii="Cambria Math" w:hAnsi="Cambria Math"/>
                        </w:rPr>
                      </m:ctrlPr>
                    </m:sSubPr>
                    <m:e>
                      <m:sSup>
                        <m:sSupPr>
                          <m:ctrlPr>
                            <w:rPr>
                              <w:rFonts w:ascii="Cambria Math" w:hAnsi="Cambria Math"/>
                              <w:i/>
                            </w:rPr>
                          </m:ctrlPr>
                        </m:sSupPr>
                        <m:e>
                          <m:r>
                            <w:rPr>
                              <w:rFonts w:ascii="Cambria Math" w:hAnsi="Cambria Math"/>
                            </w:rPr>
                            <m:t>h</m:t>
                          </m:r>
                        </m:e>
                        <m:sup>
                          <m:r>
                            <w:rPr>
                              <w:rFonts w:ascii="Cambria Math" w:hAnsi="Cambria Math"/>
                            </w:rPr>
                            <m:t>'</m:t>
                          </m:r>
                        </m:sup>
                      </m:sSup>
                    </m:e>
                    <m:sub>
                      <m:r>
                        <w:rPr>
                          <w:rFonts w:ascii="Cambria Math" w:hAnsi="Cambria Math"/>
                        </w:rPr>
                        <m:t>r</m:t>
                      </m:r>
                    </m:sub>
                  </m:sSub>
                </m:num>
                <m:den>
                  <m:sSub>
                    <m:sSubPr>
                      <m:ctrlPr>
                        <w:rPr>
                          <w:rFonts w:ascii="Cambria Math" w:hAnsi="Cambria Math"/>
                        </w:rPr>
                      </m:ctrlPr>
                    </m:sSubPr>
                    <m:e>
                      <m:sSup>
                        <m:sSupPr>
                          <m:ctrlPr>
                            <w:rPr>
                              <w:rFonts w:ascii="Cambria Math" w:hAnsi="Cambria Math"/>
                              <w:i/>
                            </w:rPr>
                          </m:ctrlPr>
                        </m:sSupPr>
                        <m:e>
                          <m:r>
                            <w:rPr>
                              <w:rFonts w:ascii="Cambria Math" w:hAnsi="Cambria Math"/>
                            </w:rPr>
                            <m:t>h</m:t>
                          </m:r>
                        </m:e>
                        <m:sup>
                          <m:r>
                            <w:rPr>
                              <w:rFonts w:ascii="Cambria Math" w:hAnsi="Cambria Math"/>
                            </w:rPr>
                            <m:t>'</m:t>
                          </m:r>
                        </m:sup>
                      </m:sSup>
                    </m:e>
                    <m:sub>
                      <m:r>
                        <w:rPr>
                          <w:rFonts w:ascii="Cambria Math" w:hAnsi="Cambria Math"/>
                        </w:rPr>
                        <m:t>r</m:t>
                      </m:r>
                    </m:sub>
                  </m:sSub>
                  <m:r>
                    <w:rPr>
                      <w:rFonts w:ascii="Cambria Math" w:hAnsi="Cambria Math"/>
                    </w:rPr>
                    <m:t>+</m:t>
                  </m:r>
                  <m:sSub>
                    <m:sSubPr>
                      <m:ctrlPr>
                        <w:rPr>
                          <w:rFonts w:ascii="Cambria Math" w:hAnsi="Cambria Math"/>
                        </w:rPr>
                      </m:ctrlPr>
                    </m:sSubPr>
                    <m:e>
                      <m:sSup>
                        <m:sSupPr>
                          <m:ctrlPr>
                            <w:rPr>
                              <w:rFonts w:ascii="Cambria Math" w:hAnsi="Cambria Math"/>
                              <w:i/>
                            </w:rPr>
                          </m:ctrlPr>
                        </m:sSupPr>
                        <m:e>
                          <m:r>
                            <w:rPr>
                              <w:rFonts w:ascii="Cambria Math" w:hAnsi="Cambria Math"/>
                            </w:rPr>
                            <m:t>h</m:t>
                          </m:r>
                        </m:e>
                        <m:sup>
                          <m:r>
                            <w:rPr>
                              <w:rFonts w:ascii="Cambria Math" w:hAnsi="Cambria Math"/>
                            </w:rPr>
                            <m:t>'</m:t>
                          </m:r>
                        </m:sup>
                      </m:sSup>
                    </m:e>
                    <m:sub>
                      <m:r>
                        <w:rPr>
                          <w:rFonts w:ascii="Cambria Math" w:hAnsi="Cambria Math"/>
                        </w:rPr>
                        <m:t>o</m:t>
                      </m:r>
                    </m:sub>
                  </m:sSub>
                </m:den>
              </m:f>
            </m:oMath>
          </w:p>
        </w:tc>
        <w:tc>
          <w:tcPr>
            <w:tcW w:w="1190" w:type="dxa"/>
            <w:vAlign w:val="center"/>
          </w:tcPr>
          <w:p w14:paraId="620DF4DA" w14:textId="77777777" w:rsidR="00BE6C7F" w:rsidRDefault="001A66DC" w:rsidP="00D13442">
            <w:pPr>
              <w:pStyle w:val="Compact"/>
              <w:jc w:val="center"/>
            </w:pPr>
            <w:r>
              <w:t>3</w:t>
            </w:r>
            <w:r w:rsidR="00C67159">
              <w:t>8</w:t>
            </w:r>
            <w:r>
              <w:t>.</w:t>
            </w:r>
            <w:r w:rsidR="00C67159">
              <w:t>4</w:t>
            </w:r>
            <w:r>
              <w:t>%</w:t>
            </w:r>
          </w:p>
        </w:tc>
        <w:tc>
          <w:tcPr>
            <w:tcW w:w="1247" w:type="dxa"/>
            <w:vAlign w:val="center"/>
          </w:tcPr>
          <w:p w14:paraId="4C7746C8" w14:textId="77777777" w:rsidR="00BE6C7F" w:rsidRDefault="001A66DC" w:rsidP="00591044">
            <w:pPr>
              <w:pStyle w:val="Compact"/>
              <w:jc w:val="center"/>
            </w:pPr>
            <w:r>
              <w:t>44.</w:t>
            </w:r>
            <w:r w:rsidR="00C67159">
              <w:t>4</w:t>
            </w:r>
            <w:r>
              <w:t>%</w:t>
            </w:r>
          </w:p>
        </w:tc>
        <w:tc>
          <w:tcPr>
            <w:tcW w:w="1247" w:type="dxa"/>
            <w:vAlign w:val="center"/>
          </w:tcPr>
          <w:p w14:paraId="16E33C9A" w14:textId="77777777" w:rsidR="00BE6C7F" w:rsidRDefault="001A66DC" w:rsidP="005F2989">
            <w:pPr>
              <w:pStyle w:val="Compact"/>
              <w:jc w:val="center"/>
            </w:pPr>
            <w:r>
              <w:t>6 p.p</w:t>
            </w:r>
          </w:p>
        </w:tc>
        <w:tc>
          <w:tcPr>
            <w:tcW w:w="1247" w:type="dxa"/>
            <w:vAlign w:val="center"/>
          </w:tcPr>
          <w:p w14:paraId="2698A089" w14:textId="77777777" w:rsidR="00BE6C7F" w:rsidRDefault="001A66DC" w:rsidP="00CF3231">
            <w:pPr>
              <w:pStyle w:val="Compact"/>
              <w:jc w:val="center"/>
              <w:rPr>
                <w:color w:val="7030A0"/>
              </w:rPr>
            </w:pPr>
            <w:r>
              <w:t>4</w:t>
            </w:r>
            <w:r w:rsidR="00C67159">
              <w:t>4</w:t>
            </w:r>
            <w:r>
              <w:t>.</w:t>
            </w:r>
            <w:r w:rsidR="00C67159">
              <w:t>4</w:t>
            </w:r>
            <w:r>
              <w:t>%</w:t>
            </w:r>
          </w:p>
        </w:tc>
        <w:tc>
          <w:tcPr>
            <w:tcW w:w="1247" w:type="dxa"/>
            <w:vAlign w:val="center"/>
          </w:tcPr>
          <w:p w14:paraId="48537146" w14:textId="77777777" w:rsidR="00BE6C7F" w:rsidRPr="00824DDA" w:rsidRDefault="001A66DC" w:rsidP="00A015BF">
            <w:pPr>
              <w:pStyle w:val="Compact"/>
              <w:jc w:val="center"/>
            </w:pPr>
            <w:r>
              <w:t>6 p.p</w:t>
            </w:r>
          </w:p>
        </w:tc>
      </w:tr>
      <w:tr w:rsidR="00285375" w14:paraId="0D66DE07" w14:textId="77777777" w:rsidTr="00285375">
        <w:trPr>
          <w:jc w:val="center"/>
        </w:trPr>
        <w:tc>
          <w:tcPr>
            <w:tcW w:w="2835" w:type="dxa"/>
          </w:tcPr>
          <w:p w14:paraId="1D835032" w14:textId="77777777" w:rsidR="00BE6C7F" w:rsidRDefault="001A66DC" w:rsidP="007D5D3E">
            <w:pPr>
              <w:pStyle w:val="Compact"/>
              <w:jc w:val="center"/>
            </w:pPr>
            <w:r>
              <w:t>Rent ratio total</w:t>
            </w:r>
          </w:p>
          <w:p w14:paraId="51A85771" w14:textId="77777777" w:rsidR="00BE6C7F" w:rsidRPr="00CB3945" w:rsidRDefault="00000000" w:rsidP="007D5D3E">
            <w:pPr>
              <w:pStyle w:val="Compact"/>
              <w:jc w:val="center"/>
              <w:rPr>
                <w:i/>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sub>
                        <m:r>
                          <w:rPr>
                            <w:rFonts w:ascii="Cambria Math" w:eastAsiaTheme="minorEastAsia" w:hAnsi="Cambria Math"/>
                          </w:rPr>
                          <m:t>r</m:t>
                        </m:r>
                      </m:sub>
                    </m:sSub>
                  </m:num>
                  <m:den>
                    <m:r>
                      <w:rPr>
                        <w:rFonts w:ascii="Cambria Math" w:eastAsiaTheme="minorEastAsia" w:hAnsi="Cambria Math"/>
                      </w:rPr>
                      <m:t>h</m:t>
                    </m:r>
                  </m:den>
                </m:f>
              </m:oMath>
            </m:oMathPara>
          </w:p>
        </w:tc>
        <w:tc>
          <w:tcPr>
            <w:tcW w:w="1190" w:type="dxa"/>
            <w:vAlign w:val="center"/>
          </w:tcPr>
          <w:p w14:paraId="422F7C9E" w14:textId="77777777" w:rsidR="00BE6C7F" w:rsidRDefault="001A66DC" w:rsidP="00514D21">
            <w:pPr>
              <w:pStyle w:val="Compact"/>
              <w:jc w:val="center"/>
            </w:pPr>
            <w:r>
              <w:t>1</w:t>
            </w:r>
            <w:r w:rsidR="00B663A6">
              <w:t>7</w:t>
            </w:r>
            <w:r>
              <w:t>.</w:t>
            </w:r>
            <w:r w:rsidR="000F428D">
              <w:t>2</w:t>
            </w:r>
            <w:r>
              <w:t>%</w:t>
            </w:r>
          </w:p>
        </w:tc>
        <w:tc>
          <w:tcPr>
            <w:tcW w:w="1247" w:type="dxa"/>
            <w:vAlign w:val="center"/>
          </w:tcPr>
          <w:p w14:paraId="32CC88D3" w14:textId="77777777" w:rsidR="00BE6C7F" w:rsidRDefault="001A66DC" w:rsidP="008A4E15">
            <w:pPr>
              <w:pStyle w:val="Compact"/>
              <w:jc w:val="center"/>
            </w:pPr>
            <w:r>
              <w:t>1</w:t>
            </w:r>
            <w:r w:rsidR="008A4E15">
              <w:t>7</w:t>
            </w:r>
            <w:r>
              <w:t>.</w:t>
            </w:r>
            <w:r w:rsidR="00CE7D9C">
              <w:t>9</w:t>
            </w:r>
            <w:r>
              <w:t>%</w:t>
            </w:r>
          </w:p>
        </w:tc>
        <w:tc>
          <w:tcPr>
            <w:tcW w:w="1247" w:type="dxa"/>
            <w:vAlign w:val="center"/>
          </w:tcPr>
          <w:p w14:paraId="6BA9CECE" w14:textId="77777777" w:rsidR="00BE6C7F" w:rsidRDefault="001A66DC" w:rsidP="00D82080">
            <w:pPr>
              <w:pStyle w:val="Compact"/>
              <w:jc w:val="center"/>
            </w:pPr>
            <w:r>
              <w:t>0. 7 p.p</w:t>
            </w:r>
          </w:p>
        </w:tc>
        <w:tc>
          <w:tcPr>
            <w:tcW w:w="1247" w:type="dxa"/>
            <w:vAlign w:val="center"/>
          </w:tcPr>
          <w:p w14:paraId="6C6FB1F7" w14:textId="77777777" w:rsidR="00BE6C7F" w:rsidRDefault="001A66DC" w:rsidP="00F04243">
            <w:pPr>
              <w:pStyle w:val="Compact"/>
              <w:jc w:val="center"/>
              <w:rPr>
                <w:color w:val="7030A0"/>
              </w:rPr>
            </w:pPr>
            <w:r>
              <w:t>1</w:t>
            </w:r>
            <w:r w:rsidR="00F04243">
              <w:t>8</w:t>
            </w:r>
            <w:r>
              <w:t>.</w:t>
            </w:r>
            <w:r w:rsidR="000F428D">
              <w:t>4</w:t>
            </w:r>
            <w:r>
              <w:t>%</w:t>
            </w:r>
          </w:p>
        </w:tc>
        <w:tc>
          <w:tcPr>
            <w:tcW w:w="1247" w:type="dxa"/>
            <w:vAlign w:val="center"/>
          </w:tcPr>
          <w:p w14:paraId="140B37C3" w14:textId="77777777" w:rsidR="00BE6C7F" w:rsidRPr="00824DDA" w:rsidRDefault="001A66DC" w:rsidP="008C1047">
            <w:pPr>
              <w:pStyle w:val="Compact"/>
              <w:jc w:val="center"/>
            </w:pPr>
            <w:r>
              <w:t>1.2 p.p</w:t>
            </w:r>
          </w:p>
        </w:tc>
      </w:tr>
    </w:tbl>
    <w:p w14:paraId="3E607022" w14:textId="77777777" w:rsidR="009A1EDD" w:rsidRDefault="001A66DC" w:rsidP="008E2B36">
      <w:pPr>
        <w:pStyle w:val="Heading1"/>
      </w:pPr>
      <w:r w:rsidRPr="004B1DB2">
        <w:t>Conclusions</w:t>
      </w:r>
    </w:p>
    <w:p w14:paraId="176966A6" w14:textId="77777777" w:rsidR="00150AA9" w:rsidRDefault="00150AA9" w:rsidP="00150AA9">
      <w:pPr>
        <w:pStyle w:val="BodyText"/>
      </w:pPr>
      <w:bookmarkStart w:id="38" w:name="OLE_LINK48"/>
      <w:r>
        <w:t>The effectiveness of monetary and macroprudential policies is a key concern for central banks. Our model of the Israeli economy indicates that implementing macroprudential measures—such as lowering the loan‑to‑value (LTV) cap or restricting the share of time‑varying interest‑rate mortgages—does not significantly hinder the central bank’s ability to achieve its primary objectives of price stability and supporting real economic activity. However, these policies do generate distributional effects arising from household heterogeneity and also influence the magnitude of deleveraging.</w:t>
      </w:r>
    </w:p>
    <w:p w14:paraId="41939C63" w14:textId="0F8E0F18" w:rsidR="00150AA9" w:rsidRDefault="00150AA9" w:rsidP="002C3A44">
      <w:pPr>
        <w:pStyle w:val="BodyText"/>
      </w:pPr>
      <w:r>
        <w:t xml:space="preserve">In particular, we find that the effectiveness of monetary policy in influencing home prices is only marginally affected by macroprudential measures such as a lower LTV cap or restrictions on the share of time‑varying interest‑rate mortgages. </w:t>
      </w:r>
      <w:r w:rsidR="002C3A44" w:rsidRPr="002C3A44">
        <w:t>This finding is consistent with the relatively weak response of home prices to a standalone LTV shock.</w:t>
      </w:r>
    </w:p>
    <w:p w14:paraId="025A9DDF" w14:textId="588FB3CA" w:rsidR="004F2D0D" w:rsidRDefault="004F2D0D" w:rsidP="009F75EA">
      <w:pPr>
        <w:pStyle w:val="BodyText"/>
      </w:pPr>
      <w:r w:rsidRPr="004F2D0D">
        <w:t>This outcome contrasts with much of the existing DSGE literature, which typically finds that a lower LTV cap leads to a substantial decline in housing prices. We attribute this difference to the absence of a rental market in those models and to distinctive features of Israel’s rental housing market, particularly the dominant role of investors.</w:t>
      </w:r>
    </w:p>
    <w:p w14:paraId="699972C6" w14:textId="6EE05A72" w:rsidR="00150AA9" w:rsidRDefault="00150AA9" w:rsidP="00564A17">
      <w:pPr>
        <w:pStyle w:val="BodyText"/>
      </w:pPr>
      <w:r>
        <w:t xml:space="preserve">Overall, our findings provide important insights for policymakers. They highlight a nuanced reality: while macroprudential tools such as LTV restrictions can effectively enhance financial stability, </w:t>
      </w:r>
      <w:r w:rsidR="00564A17" w:rsidRPr="00564A17">
        <w:t>their impact on home prices may be less straightforward than initially assumed.</w:t>
      </w:r>
    </w:p>
    <w:p w14:paraId="29BBDB9E" w14:textId="3ED515E8" w:rsidR="00150AA9" w:rsidRDefault="00150AA9" w:rsidP="00150AA9">
      <w:pPr>
        <w:pStyle w:val="BodyText"/>
      </w:pPr>
      <w:r>
        <w:t>Finally, we believe that our research not only deepens the understanding of Israel’s housing market dynamics but also offers broader implications for other economies implementing similar macroprudential frameworks.</w:t>
      </w:r>
    </w:p>
    <w:bookmarkEnd w:id="38"/>
    <w:p w14:paraId="7111F4C1" w14:textId="77777777" w:rsidR="005721F1" w:rsidRDefault="001A66DC" w:rsidP="00A015BF">
      <w:pPr>
        <w:pStyle w:val="Heading1"/>
        <w:numPr>
          <w:ilvl w:val="0"/>
          <w:numId w:val="0"/>
        </w:numPr>
        <w:spacing w:line="360" w:lineRule="auto"/>
        <w:ind w:left="360" w:hanging="360"/>
        <w:jc w:val="center"/>
      </w:pPr>
      <w:r w:rsidRPr="00F73527">
        <w:lastRenderedPageBreak/>
        <w:t>Reference</w:t>
      </w:r>
    </w:p>
    <w:p w14:paraId="5894F27C" w14:textId="77777777" w:rsidR="007A64C5" w:rsidRPr="007A64C5" w:rsidRDefault="009553AA" w:rsidP="007A64C5">
      <w:pPr>
        <w:pStyle w:val="Bibliography"/>
      </w:pPr>
      <w:r>
        <w:rPr>
          <w:rFonts w:eastAsia="Times New Roman" w:cs="Courier New"/>
          <w:color w:val="000000"/>
        </w:rPr>
        <w:fldChar w:fldCharType="begin"/>
      </w:r>
      <w:r w:rsidR="007A64C5">
        <w:rPr>
          <w:rFonts w:eastAsia="Times New Roman" w:cs="Courier New"/>
          <w:color w:val="000000"/>
        </w:rPr>
        <w:instrText xml:space="preserve"> ADDIN ZOTERO_BIBL {"uncited":[],"omitted":[],"custom":[]} CSL_BIBLIOGRAPHY </w:instrText>
      </w:r>
      <w:r>
        <w:rPr>
          <w:rFonts w:eastAsia="Times New Roman" w:cs="Courier New"/>
          <w:color w:val="000000"/>
        </w:rPr>
        <w:fldChar w:fldCharType="separate"/>
      </w:r>
      <w:r w:rsidR="007A64C5" w:rsidRPr="007A64C5">
        <w:t xml:space="preserve">Alpanda, Sami, and Sarah Zubairy, “Addressing Household Indebtedness: Monetary, Fiscal or Macroprudential Policy?,” </w:t>
      </w:r>
      <w:r w:rsidR="007A64C5" w:rsidRPr="007A64C5">
        <w:rPr>
          <w:i/>
          <w:iCs/>
        </w:rPr>
        <w:t>European Economic Review</w:t>
      </w:r>
      <w:r w:rsidR="007A64C5" w:rsidRPr="007A64C5">
        <w:t>, 92 (2017), 47–73.</w:t>
      </w:r>
    </w:p>
    <w:p w14:paraId="65276D57" w14:textId="77777777" w:rsidR="007A64C5" w:rsidRPr="007A64C5" w:rsidRDefault="007A64C5" w:rsidP="007A64C5">
      <w:pPr>
        <w:pStyle w:val="Bibliography"/>
      </w:pPr>
      <w:r w:rsidRPr="007A64C5">
        <w:t xml:space="preserve">Aoki, Kosuke, James Proudman, and Gertjan Vlieghe, “House Prices, Consumption, and Monetary Policy: a Financial Accelerator Approach,” </w:t>
      </w:r>
      <w:r w:rsidRPr="007A64C5">
        <w:rPr>
          <w:i/>
          <w:iCs/>
        </w:rPr>
        <w:t>Journal of Financial Intermediation</w:t>
      </w:r>
      <w:r w:rsidRPr="007A64C5">
        <w:t>, (2004), 22.</w:t>
      </w:r>
    </w:p>
    <w:p w14:paraId="349A964C" w14:textId="77777777" w:rsidR="007A64C5" w:rsidRPr="007A64C5" w:rsidRDefault="007A64C5" w:rsidP="007A64C5">
      <w:pPr>
        <w:pStyle w:val="Bibliography"/>
      </w:pPr>
      <w:r w:rsidRPr="007A64C5">
        <w:t>Argov, Eyal, Emanuel Barnea, Alon Binyamini, Eliezer Borenstein, David Elkayam, and Irit Rozenshtrom, “MOISE: A DSGE Model for the Israeli Economy,” Discussion Paper Series, (2012) (Bank of Israel Research Department).</w:t>
      </w:r>
    </w:p>
    <w:p w14:paraId="2984A678" w14:textId="77777777" w:rsidR="007A64C5" w:rsidRPr="007A64C5" w:rsidRDefault="007A64C5" w:rsidP="007A64C5">
      <w:pPr>
        <w:pStyle w:val="Bibliography"/>
      </w:pPr>
      <w:r w:rsidRPr="007A64C5">
        <w:t xml:space="preserve">Bekiros, Stelios, Rachatar Nilavongse, and Gazi Salah Uddin, “Expectation-driven house prices and debt defaults: The effectiveness of monetary and macroprudential policies,” </w:t>
      </w:r>
      <w:r w:rsidRPr="007A64C5">
        <w:rPr>
          <w:i/>
          <w:iCs/>
        </w:rPr>
        <w:t>Journal of Financial Stability</w:t>
      </w:r>
      <w:r w:rsidRPr="007A64C5">
        <w:t>, 49 (2020), 100760.</w:t>
      </w:r>
    </w:p>
    <w:p w14:paraId="60F320A9" w14:textId="77777777" w:rsidR="007A64C5" w:rsidRPr="007A64C5" w:rsidRDefault="007A64C5" w:rsidP="007A64C5">
      <w:pPr>
        <w:pStyle w:val="Bibliography"/>
      </w:pPr>
      <w:r w:rsidRPr="007A64C5">
        <w:t xml:space="preserve">Benchimol, Jonathan, Inon Gamrasni, Michael Kahn, Sigal Ribon, Yossi Saadon, Noam Ben-Ze’ev, Asaf Segal, and Yitzchak Shizgal, “The interaction between domestic monetary policy and macroprudential policy in Israel,” </w:t>
      </w:r>
      <w:r w:rsidRPr="007A64C5">
        <w:rPr>
          <w:i/>
          <w:iCs/>
        </w:rPr>
        <w:t>Economic Modelling</w:t>
      </w:r>
      <w:r w:rsidRPr="007A64C5">
        <w:t>, 112 (2022), 105872.</w:t>
      </w:r>
    </w:p>
    <w:p w14:paraId="6A38CFC7" w14:textId="77777777" w:rsidR="007A64C5" w:rsidRPr="007A64C5" w:rsidRDefault="007A64C5" w:rsidP="007A64C5">
      <w:pPr>
        <w:pStyle w:val="Bibliography"/>
      </w:pPr>
      <w:r w:rsidRPr="007A64C5">
        <w:t xml:space="preserve">Benigno, Pierpaolo, Gauti B. Eggertsson, and Federica Romei, “Dynamic Debt Deleveraging and Optimal Monetary Policy,” </w:t>
      </w:r>
      <w:r w:rsidRPr="007A64C5">
        <w:rPr>
          <w:i/>
          <w:iCs/>
        </w:rPr>
        <w:t>American Economic Journal: Macroeconomics</w:t>
      </w:r>
      <w:r w:rsidRPr="007A64C5">
        <w:t>, 12 (2020), 310–350.</w:t>
      </w:r>
    </w:p>
    <w:p w14:paraId="20880413" w14:textId="77777777" w:rsidR="007A64C5" w:rsidRPr="007A64C5" w:rsidRDefault="007A64C5" w:rsidP="007A64C5">
      <w:pPr>
        <w:pStyle w:val="Bibliography"/>
      </w:pPr>
      <w:r w:rsidRPr="007A64C5">
        <w:t>Bosshardt, Joshua, Marco Di Maggio, Ali Kakhbod, and Amir Kermani, “The Credit Supply Channel of Monetary Policy Tightening and its Distributional Impacts,” Working Paper Series, Working Paper, (2023) (National Bureau of Economic Research).</w:t>
      </w:r>
    </w:p>
    <w:p w14:paraId="1D110D45" w14:textId="77777777" w:rsidR="007A64C5" w:rsidRPr="007A64C5" w:rsidRDefault="007A64C5" w:rsidP="007A64C5">
      <w:pPr>
        <w:pStyle w:val="Bibliography"/>
      </w:pPr>
      <w:r w:rsidRPr="007A64C5">
        <w:t xml:space="preserve">Bruneau, Gabriel, Ian Christensen, and Césaire Meh, “Housing market dynamics and macroprudential policies,” </w:t>
      </w:r>
      <w:r w:rsidRPr="007A64C5">
        <w:rPr>
          <w:i/>
          <w:iCs/>
        </w:rPr>
        <w:t>Canadian Journal of Economics</w:t>
      </w:r>
      <w:r w:rsidRPr="007A64C5">
        <w:t>, 51 (2018), 864–900.</w:t>
      </w:r>
    </w:p>
    <w:p w14:paraId="3236C4AB" w14:textId="77777777" w:rsidR="007A64C5" w:rsidRPr="007A64C5" w:rsidRDefault="007A64C5" w:rsidP="007A64C5">
      <w:pPr>
        <w:pStyle w:val="Bibliography"/>
      </w:pPr>
      <w:r w:rsidRPr="007A64C5">
        <w:t>Buitron, Carolina Osorio, and Stephanie Denis, “The Housing Market in Israel,” IMF Country Report, (2014) (International Monetary Fund).</w:t>
      </w:r>
    </w:p>
    <w:p w14:paraId="7A239B3A" w14:textId="77777777" w:rsidR="007A64C5" w:rsidRPr="007A64C5" w:rsidRDefault="007A64C5" w:rsidP="007A64C5">
      <w:pPr>
        <w:pStyle w:val="Bibliography"/>
      </w:pPr>
      <w:r w:rsidRPr="007A64C5">
        <w:t xml:space="preserve">Cairó, Isabel, and Jae Sim, “Monetary policy and financial stability,” </w:t>
      </w:r>
      <w:r w:rsidRPr="007A64C5">
        <w:rPr>
          <w:i/>
          <w:iCs/>
        </w:rPr>
        <w:t>Journal of Economic Dynamics and Control</w:t>
      </w:r>
      <w:r w:rsidRPr="007A64C5">
        <w:t>, 157 (2023), 104764.</w:t>
      </w:r>
    </w:p>
    <w:p w14:paraId="4306E85F" w14:textId="77777777" w:rsidR="007A64C5" w:rsidRPr="007A64C5" w:rsidRDefault="007A64C5" w:rsidP="007A64C5">
      <w:pPr>
        <w:pStyle w:val="Bibliography"/>
      </w:pPr>
      <w:r w:rsidRPr="007A64C5">
        <w:t xml:space="preserve">Cerutti, Eugenio, Stijn Claessens, and Luc Laeven, “The use and effectiveness of macroprudential policies: New evidence,” </w:t>
      </w:r>
      <w:r w:rsidRPr="007A64C5">
        <w:rPr>
          <w:i/>
          <w:iCs/>
        </w:rPr>
        <w:t>Journal of Financial Stability</w:t>
      </w:r>
      <w:r w:rsidRPr="007A64C5">
        <w:t>, 28 (2017), 203–224.</w:t>
      </w:r>
    </w:p>
    <w:p w14:paraId="7B0D585A" w14:textId="77777777" w:rsidR="007A64C5" w:rsidRPr="007A64C5" w:rsidRDefault="007A64C5" w:rsidP="007A64C5">
      <w:pPr>
        <w:pStyle w:val="Bibliography"/>
      </w:pPr>
      <w:r w:rsidRPr="007A64C5">
        <w:t>Cohen, Nimrod, and Alex Ilek, “An estimate of the share of financially constrained households in Israel (Hebrew),” Unpublished Memo, (2024) (Bank of Israel).</w:t>
      </w:r>
    </w:p>
    <w:p w14:paraId="4A037EB7" w14:textId="77777777" w:rsidR="007A64C5" w:rsidRPr="007A64C5" w:rsidRDefault="007A64C5" w:rsidP="007A64C5">
      <w:pPr>
        <w:pStyle w:val="Bibliography"/>
      </w:pPr>
      <w:r w:rsidRPr="007A64C5">
        <w:t>Cozzi, Guido, Matthieu Darracq Paries, Peter Karadi, Jenny Körner, Christoffer Kok, Falk Mazelis, Kalin Nikolov, Elena Rancoita, Alejandro Van Der Ghote, and Julien Weber, “Macroprudential Policy Measures: Macroeconomic Impact and Interaction with Monetary Policy,” ECB Working Paper Series, (2021).</w:t>
      </w:r>
    </w:p>
    <w:p w14:paraId="0320FC70" w14:textId="77777777" w:rsidR="007A64C5" w:rsidRPr="007A64C5" w:rsidRDefault="007A64C5" w:rsidP="007A64C5">
      <w:pPr>
        <w:pStyle w:val="Bibliography"/>
      </w:pPr>
      <w:r w:rsidRPr="007A64C5">
        <w:t>Drehmann, Mathias, Claudio E. V. Borio, and Kostas Tsatsaronis, “Characterising the Financial Cycle: Don’t Lose Sight of the Medium Term!,” BIS Working Papers, (2012) (Bank for International Settlements).</w:t>
      </w:r>
    </w:p>
    <w:p w14:paraId="238112E1" w14:textId="77777777" w:rsidR="007A64C5" w:rsidRPr="007A64C5" w:rsidRDefault="007A64C5" w:rsidP="007A64C5">
      <w:pPr>
        <w:pStyle w:val="Bibliography"/>
      </w:pPr>
      <w:r w:rsidRPr="007A64C5">
        <w:lastRenderedPageBreak/>
        <w:t xml:space="preserve">Funke, Michael, Robert Kirkby, and Petar Mihaylovski, “House prices and macroprudential policy in an estimated DSGE model of New Zealand,” </w:t>
      </w:r>
      <w:r w:rsidRPr="007A64C5">
        <w:rPr>
          <w:i/>
          <w:iCs/>
        </w:rPr>
        <w:t>Journal of Macroeconomics</w:t>
      </w:r>
      <w:r w:rsidRPr="007A64C5">
        <w:t>, 56 (2018), 152–171.</w:t>
      </w:r>
    </w:p>
    <w:p w14:paraId="29BE1271" w14:textId="77777777" w:rsidR="007A64C5" w:rsidRPr="007A64C5" w:rsidRDefault="007A64C5" w:rsidP="007A64C5">
      <w:pPr>
        <w:pStyle w:val="Bibliography"/>
      </w:pPr>
      <w:r w:rsidRPr="007A64C5">
        <w:t xml:space="preserve">Genesove, David, “The Nominal Rigidity of Apartment Rents,” </w:t>
      </w:r>
      <w:r w:rsidRPr="007A64C5">
        <w:rPr>
          <w:i/>
          <w:iCs/>
        </w:rPr>
        <w:t>The Review of Economics and Statistics</w:t>
      </w:r>
      <w:r w:rsidRPr="007A64C5">
        <w:t>, 85 (2003), 844–853.</w:t>
      </w:r>
    </w:p>
    <w:p w14:paraId="7BD63537" w14:textId="77777777" w:rsidR="007A64C5" w:rsidRPr="007A64C5" w:rsidRDefault="007A64C5" w:rsidP="007A64C5">
      <w:pPr>
        <w:pStyle w:val="Bibliography"/>
      </w:pPr>
      <w:r w:rsidRPr="007A64C5">
        <w:t xml:space="preserve">Guerrieri, Luca, and Matteo Iacoviello, “Collateral constraints and macroeconomic asymmetries,” </w:t>
      </w:r>
      <w:r w:rsidRPr="007A64C5">
        <w:rPr>
          <w:i/>
          <w:iCs/>
        </w:rPr>
        <w:t>Journal of Monetary Economics</w:t>
      </w:r>
      <w:r w:rsidRPr="007A64C5">
        <w:t>, 90 (2017), 28–49.</w:t>
      </w:r>
    </w:p>
    <w:p w14:paraId="63C479B6" w14:textId="77777777" w:rsidR="007A64C5" w:rsidRPr="007A64C5" w:rsidRDefault="007A64C5" w:rsidP="007A64C5">
      <w:pPr>
        <w:pStyle w:val="Bibliography"/>
      </w:pPr>
      <w:r w:rsidRPr="007A64C5">
        <w:t xml:space="preserve">Iacoviello, Matteo, “House Prices, Borrowing Constraints, and Monetary Policy in the Business Cycle,” </w:t>
      </w:r>
      <w:r w:rsidRPr="007A64C5">
        <w:rPr>
          <w:i/>
          <w:iCs/>
        </w:rPr>
        <w:t>American Economic Review</w:t>
      </w:r>
      <w:r w:rsidRPr="007A64C5">
        <w:t>, 95 (2005), 739–764.</w:t>
      </w:r>
    </w:p>
    <w:p w14:paraId="037E2957" w14:textId="77777777" w:rsidR="007A64C5" w:rsidRPr="007A64C5" w:rsidRDefault="007A64C5" w:rsidP="007A64C5">
      <w:pPr>
        <w:pStyle w:val="Bibliography"/>
      </w:pPr>
      <w:r w:rsidRPr="007A64C5">
        <w:t xml:space="preserve">Iacoviello, Matteo, and Stefano Neri, “Housing Market Spillovers: Evidence from an Estimated DSGE Model,” </w:t>
      </w:r>
      <w:r w:rsidRPr="007A64C5">
        <w:rPr>
          <w:i/>
          <w:iCs/>
        </w:rPr>
        <w:t>American Economic Journal: Macroeconomics</w:t>
      </w:r>
      <w:r w:rsidRPr="007A64C5">
        <w:t>, 2 (2010), 125–164.</w:t>
      </w:r>
    </w:p>
    <w:p w14:paraId="1A04A980" w14:textId="77777777" w:rsidR="007A64C5" w:rsidRPr="007A64C5" w:rsidRDefault="007A64C5" w:rsidP="007A64C5">
      <w:pPr>
        <w:pStyle w:val="Bibliography"/>
      </w:pPr>
      <w:r w:rsidRPr="007A64C5">
        <w:t>Ilek, Alex, and Nimrod Cohen, “A Semi-Structural Model with Household Debt for Israel,” Discussion Paper Series, (2023) (Bank of Israel Research Department).</w:t>
      </w:r>
    </w:p>
    <w:p w14:paraId="3FE7647F" w14:textId="77777777" w:rsidR="007A64C5" w:rsidRPr="007A64C5" w:rsidRDefault="007A64C5" w:rsidP="007A64C5">
      <w:pPr>
        <w:pStyle w:val="Bibliography"/>
      </w:pPr>
      <w:r w:rsidRPr="007A64C5">
        <w:t xml:space="preserve">Ilek, Alex, and Irit Rozenshtrom, “The term premium in a small open economy: A micro-founded approach,” </w:t>
      </w:r>
      <w:r w:rsidRPr="007A64C5">
        <w:rPr>
          <w:i/>
          <w:iCs/>
        </w:rPr>
        <w:t>International Review of Economics &amp; Finance</w:t>
      </w:r>
      <w:r w:rsidRPr="007A64C5">
        <w:t>, 57 (2018), 333–352.</w:t>
      </w:r>
    </w:p>
    <w:p w14:paraId="2B07438A" w14:textId="77777777" w:rsidR="007A64C5" w:rsidRPr="007A64C5" w:rsidRDefault="007A64C5" w:rsidP="007A64C5">
      <w:pPr>
        <w:pStyle w:val="Bibliography"/>
      </w:pPr>
      <w:r w:rsidRPr="007A64C5">
        <w:t xml:space="preserve">Ireland, Peter N., “Changes in the Federal Reserve’s Inflation Target: Causes and Consequences,” </w:t>
      </w:r>
      <w:r w:rsidRPr="007A64C5">
        <w:rPr>
          <w:i/>
          <w:iCs/>
        </w:rPr>
        <w:t>Journal of Money, Credit and Banking</w:t>
      </w:r>
      <w:r w:rsidRPr="007A64C5">
        <w:t>, 39 (2007), 1851–1882.</w:t>
      </w:r>
    </w:p>
    <w:p w14:paraId="50B6D215" w14:textId="77777777" w:rsidR="007A64C5" w:rsidRPr="007A64C5" w:rsidRDefault="007A64C5" w:rsidP="007A64C5">
      <w:pPr>
        <w:pStyle w:val="Bibliography"/>
      </w:pPr>
      <w:r w:rsidRPr="007A64C5">
        <w:t>Kosman, Liran, “Housing Ownership Data by Deciles in Israel,” (2021) (The Knesset Research and Information Center, Israel).</w:t>
      </w:r>
    </w:p>
    <w:p w14:paraId="10A65E60" w14:textId="77777777" w:rsidR="007A64C5" w:rsidRPr="007A64C5" w:rsidRDefault="007A64C5" w:rsidP="007A64C5">
      <w:pPr>
        <w:pStyle w:val="Bibliography"/>
      </w:pPr>
      <w:r w:rsidRPr="007A64C5">
        <w:t xml:space="preserve">Laufer, Steven, and Nitzan Tzur-Ilan, “The effect of LTV-based risk weights on house prices: Evidence from an Israeli macroprudential policy,” </w:t>
      </w:r>
      <w:r w:rsidRPr="007A64C5">
        <w:rPr>
          <w:i/>
          <w:iCs/>
        </w:rPr>
        <w:t>Journal of Urban Economics</w:t>
      </w:r>
      <w:r w:rsidRPr="007A64C5">
        <w:t>, 124 (2021), 103349.</w:t>
      </w:r>
    </w:p>
    <w:p w14:paraId="597F4E2F" w14:textId="77777777" w:rsidR="007A64C5" w:rsidRPr="007A64C5" w:rsidRDefault="007A64C5" w:rsidP="007A64C5">
      <w:pPr>
        <w:pStyle w:val="Bibliography"/>
      </w:pPr>
      <w:r w:rsidRPr="007A64C5">
        <w:t xml:space="preserve">Lee, Junhee, and Joonhyuk Song, “Housing and business cycles in Korea: A multi-sector Bayesian DSGE approach,” </w:t>
      </w:r>
      <w:r w:rsidRPr="007A64C5">
        <w:rPr>
          <w:i/>
          <w:iCs/>
        </w:rPr>
        <w:t>Economic Modelling</w:t>
      </w:r>
      <w:r w:rsidRPr="007A64C5">
        <w:t>, 45 (2015), 99–108.</w:t>
      </w:r>
    </w:p>
    <w:p w14:paraId="03E73B97" w14:textId="77777777" w:rsidR="007A64C5" w:rsidRPr="007A64C5" w:rsidRDefault="007A64C5" w:rsidP="007A64C5">
      <w:pPr>
        <w:pStyle w:val="Bibliography"/>
      </w:pPr>
      <w:r w:rsidRPr="007A64C5">
        <w:t xml:space="preserve">Malovaná, Simona, Martin Hodula, Zuzana Gric, and Josef Bajzík, “Macroprudential policy in central banks: Integrated or separate? Survey among academics and central bankers,” </w:t>
      </w:r>
      <w:r w:rsidRPr="007A64C5">
        <w:rPr>
          <w:i/>
          <w:iCs/>
        </w:rPr>
        <w:t>Journal of Financial Stability</w:t>
      </w:r>
      <w:r w:rsidRPr="007A64C5">
        <w:t>, 65 (2023), 101107.</w:t>
      </w:r>
    </w:p>
    <w:p w14:paraId="58E5D384" w14:textId="77777777" w:rsidR="007A64C5" w:rsidRPr="007A64C5" w:rsidRDefault="007A64C5" w:rsidP="007A64C5">
      <w:pPr>
        <w:pStyle w:val="Bibliography"/>
      </w:pPr>
      <w:r w:rsidRPr="007A64C5">
        <w:t xml:space="preserve">Nagar, Weitzman, and Guy Segal, “What Explains the Developments in Home Prices and Rents in Israel between 1999 and 2010?,” </w:t>
      </w:r>
      <w:r w:rsidRPr="007A64C5">
        <w:rPr>
          <w:i/>
          <w:iCs/>
        </w:rPr>
        <w:t>Israel Economic Review</w:t>
      </w:r>
      <w:r w:rsidRPr="007A64C5">
        <w:t>, 12 (2014), 115–161.</w:t>
      </w:r>
    </w:p>
    <w:p w14:paraId="03F0499F" w14:textId="77777777" w:rsidR="007A64C5" w:rsidRPr="007A64C5" w:rsidRDefault="007A64C5" w:rsidP="007A64C5">
      <w:pPr>
        <w:pStyle w:val="Bibliography"/>
      </w:pPr>
      <w:r w:rsidRPr="007A64C5">
        <w:t xml:space="preserve">Poterba, James M., “Tax Subsidies to Owner-Occupied Housing: An Asset-Market Approach,” </w:t>
      </w:r>
      <w:r w:rsidRPr="007A64C5">
        <w:rPr>
          <w:i/>
          <w:iCs/>
        </w:rPr>
        <w:t>The Quarterly Journal of Economics</w:t>
      </w:r>
      <w:r w:rsidRPr="007A64C5">
        <w:t>, 99 (1984), 729.</w:t>
      </w:r>
    </w:p>
    <w:p w14:paraId="344503FF" w14:textId="77777777" w:rsidR="007A64C5" w:rsidRPr="007A64C5" w:rsidRDefault="007A64C5" w:rsidP="007A64C5">
      <w:pPr>
        <w:pStyle w:val="Bibliography"/>
      </w:pPr>
      <w:r w:rsidRPr="007A64C5">
        <w:t xml:space="preserve">Quint, Dominic, and Pau Rabanal, “Monetary and Macroprudential Policy in an Estimated DSGE Model of the Euro Area,” </w:t>
      </w:r>
      <w:r w:rsidRPr="007A64C5">
        <w:rPr>
          <w:i/>
          <w:iCs/>
        </w:rPr>
        <w:t>International Journal of Central Banking</w:t>
      </w:r>
      <w:r w:rsidRPr="007A64C5">
        <w:t>, 10 (2014).</w:t>
      </w:r>
    </w:p>
    <w:p w14:paraId="56B7200F" w14:textId="77777777" w:rsidR="007A64C5" w:rsidRPr="007A64C5" w:rsidRDefault="007A64C5" w:rsidP="007A64C5">
      <w:pPr>
        <w:pStyle w:val="Bibliography"/>
      </w:pPr>
      <w:r w:rsidRPr="007A64C5">
        <w:t xml:space="preserve">Raz-Dror, Ofer, “The changes in rent in israel during the years of the housing crisis 2008–2015,” </w:t>
      </w:r>
      <w:r w:rsidRPr="007A64C5">
        <w:rPr>
          <w:i/>
          <w:iCs/>
        </w:rPr>
        <w:t>Israel Economic Review</w:t>
      </w:r>
      <w:r w:rsidRPr="007A64C5">
        <w:t>, 17 (2019).</w:t>
      </w:r>
    </w:p>
    <w:p w14:paraId="4A55B1CC" w14:textId="77777777" w:rsidR="007A64C5" w:rsidRPr="007A64C5" w:rsidRDefault="007A64C5" w:rsidP="007A64C5">
      <w:pPr>
        <w:pStyle w:val="Bibliography"/>
      </w:pPr>
      <w:r w:rsidRPr="007A64C5">
        <w:t>Ribon, Sigal, “The Interaction between Macroprudential and Monetary Policies and the Housing Market – A VAR Examination for Israel,” Discussion Paper Series, (2023) (Bank of Israel Research Department).</w:t>
      </w:r>
    </w:p>
    <w:p w14:paraId="5492AA7C" w14:textId="77777777" w:rsidR="007A64C5" w:rsidRPr="007A64C5" w:rsidRDefault="007A64C5" w:rsidP="007A64C5">
      <w:pPr>
        <w:pStyle w:val="Bibliography"/>
      </w:pPr>
      <w:r w:rsidRPr="007A64C5">
        <w:t>Ribon, Sigal, and Doron Sayag, “Price Setting Behavior in Israel An Empirical Analysis Using Microdata,” Discussion Paper Series, (2013) (Research Department Bank of Israel).</w:t>
      </w:r>
    </w:p>
    <w:p w14:paraId="19A34CE9" w14:textId="77777777" w:rsidR="007A64C5" w:rsidRPr="007A64C5" w:rsidRDefault="007A64C5" w:rsidP="007A64C5">
      <w:pPr>
        <w:pStyle w:val="Bibliography"/>
      </w:pPr>
      <w:r w:rsidRPr="007A64C5">
        <w:lastRenderedPageBreak/>
        <w:t xml:space="preserve">Rotemberg, Julio J., “Monopolistic Price Adjustment and Aggregate Output,” </w:t>
      </w:r>
      <w:r w:rsidRPr="007A64C5">
        <w:rPr>
          <w:i/>
          <w:iCs/>
        </w:rPr>
        <w:t>The Review of Economic Studies</w:t>
      </w:r>
      <w:r w:rsidRPr="007A64C5">
        <w:t>, 49 (1982), 517–531.</w:t>
      </w:r>
    </w:p>
    <w:p w14:paraId="28CA55C5" w14:textId="77777777" w:rsidR="007A64C5" w:rsidRPr="007A64C5" w:rsidRDefault="007A64C5" w:rsidP="007A64C5">
      <w:pPr>
        <w:pStyle w:val="Bibliography"/>
      </w:pPr>
      <w:r w:rsidRPr="007A64C5">
        <w:t xml:space="preserve">Shimizu, Chihiro, Kiyohiko G. Nishimura, and Tsutomu Watanabe, “Residential rents and price rigidity: Micro structure and macro consequences,” </w:t>
      </w:r>
      <w:r w:rsidRPr="007A64C5">
        <w:rPr>
          <w:i/>
          <w:iCs/>
        </w:rPr>
        <w:t>Journal of the Japanese and International Economies</w:t>
      </w:r>
      <w:r w:rsidRPr="007A64C5">
        <w:t>, 24 (2010), 282–299.</w:t>
      </w:r>
    </w:p>
    <w:p w14:paraId="75493936" w14:textId="77777777" w:rsidR="007A64C5" w:rsidRPr="007A64C5" w:rsidRDefault="007A64C5" w:rsidP="007A64C5">
      <w:pPr>
        <w:pStyle w:val="Bibliography"/>
      </w:pPr>
      <w:r w:rsidRPr="007A64C5">
        <w:t>Stein-Kapach, Nardit, “Ownership of Financial Assets by Households Findings from the Longitudinal Survey 2018 (Hebrew only),” (2019) (Central Bureau of Statistics).</w:t>
      </w:r>
    </w:p>
    <w:p w14:paraId="1524B3DF" w14:textId="77777777" w:rsidR="007A64C5" w:rsidRPr="007A64C5" w:rsidRDefault="007A64C5" w:rsidP="007A64C5">
      <w:pPr>
        <w:pStyle w:val="Bibliography"/>
      </w:pPr>
      <w:r w:rsidRPr="007A64C5">
        <w:t xml:space="preserve">Sun, Xiaojin, and Kwok Ping Tsang, “What Drives the Owner-Occupied and Rental Housing Markets? Evidence from an Estimated DSGE Model,” </w:t>
      </w:r>
      <w:r w:rsidRPr="007A64C5">
        <w:rPr>
          <w:i/>
          <w:iCs/>
        </w:rPr>
        <w:t>Journal of Money, Credit and Banking</w:t>
      </w:r>
      <w:r w:rsidRPr="007A64C5">
        <w:t>, 49 (2017), 443–468.</w:t>
      </w:r>
    </w:p>
    <w:p w14:paraId="3C15312D" w14:textId="77777777" w:rsidR="007A64C5" w:rsidRPr="007A64C5" w:rsidRDefault="007A64C5" w:rsidP="007A64C5">
      <w:pPr>
        <w:pStyle w:val="Bibliography"/>
      </w:pPr>
      <w:r w:rsidRPr="007A64C5">
        <w:t>Svensson, Lars E O, “A Simple Frictionless Model of User Cost and User-Cost-to-Income and User-Cost-to-Rent Ratios,” Unpublished manuscript, (2022) (Stockholm School of Economics).</w:t>
      </w:r>
    </w:p>
    <w:p w14:paraId="140C69E9" w14:textId="77777777" w:rsidR="007A64C5" w:rsidRPr="007A64C5" w:rsidRDefault="007A64C5" w:rsidP="007A64C5">
      <w:pPr>
        <w:pStyle w:val="Bibliography"/>
      </w:pPr>
      <w:r w:rsidRPr="007A64C5">
        <w:t>Van-Hoenselaar Frank, Cournède Boris, De Pace Federica, and Ziemann Volker, “Mortgage finance across OECD countries,” OECD Economics Department Working Papers, (2021) (Paris, OECD).</w:t>
      </w:r>
    </w:p>
    <w:p w14:paraId="3B47CBF6" w14:textId="77777777" w:rsidR="007A64C5" w:rsidRPr="007A64C5" w:rsidRDefault="007A64C5" w:rsidP="007A64C5">
      <w:pPr>
        <w:pStyle w:val="Bibliography"/>
      </w:pPr>
      <w:r w:rsidRPr="007A64C5">
        <w:t xml:space="preserve">Verbrugge, Randal, Alan Dorfman, William Johnson, Fred Marsh III, Robert Poole, and Owen Shoemaker, “Determinants of Differential Rent Changes: Mean Reversion versus the Usual Suspects,” </w:t>
      </w:r>
      <w:r w:rsidRPr="007A64C5">
        <w:rPr>
          <w:i/>
          <w:iCs/>
        </w:rPr>
        <w:t>Real Estate Economics</w:t>
      </w:r>
      <w:r w:rsidRPr="007A64C5">
        <w:t>, 45 (2017), 591–627.</w:t>
      </w:r>
    </w:p>
    <w:p w14:paraId="4C687EAC" w14:textId="77777777" w:rsidR="007A64C5" w:rsidRPr="007A64C5" w:rsidRDefault="007A64C5" w:rsidP="007A64C5">
      <w:pPr>
        <w:pStyle w:val="Bibliography"/>
      </w:pPr>
      <w:r w:rsidRPr="007A64C5">
        <w:t>Yakhin, Yossi, and Inon Gamrasni, “The Housing Market in Israel: Long-Run Equilibrium and Short-Run Dynamics,” Discussion Paper Series, (2021) (Bank of Israel Research Department).</w:t>
      </w:r>
    </w:p>
    <w:p w14:paraId="447E741F" w14:textId="5ABE3B21" w:rsidR="00A015BF" w:rsidRDefault="009553AA" w:rsidP="000814CF">
      <w:pPr>
        <w:pStyle w:val="Bibliography"/>
      </w:pPr>
      <w:r>
        <w:rPr>
          <w:rFonts w:eastAsia="Times New Roman" w:cs="Courier New"/>
          <w:color w:val="000000"/>
        </w:rPr>
        <w:fldChar w:fldCharType="end"/>
      </w:r>
    </w:p>
    <w:p w14:paraId="4239A653" w14:textId="77777777" w:rsidR="00266E3F" w:rsidRDefault="001A66DC" w:rsidP="00266E3F">
      <w:pPr>
        <w:pStyle w:val="Heading1"/>
      </w:pPr>
      <w:r>
        <w:t>Appendix</w:t>
      </w:r>
    </w:p>
    <w:p w14:paraId="38AE888F" w14:textId="5A29C21E" w:rsidR="00C55DF3" w:rsidRPr="00A337AF" w:rsidRDefault="001A66DC">
      <w:pPr>
        <w:pStyle w:val="BodyText"/>
      </w:pPr>
      <w:bookmarkStart w:id="39" w:name="OLE_LINK39"/>
      <w:r>
        <w:t xml:space="preserve">Supplementary </w:t>
      </w:r>
      <w:bookmarkEnd w:id="39"/>
      <w:r>
        <w:t xml:space="preserve">material </w:t>
      </w:r>
      <w:r w:rsidR="00F97508">
        <w:t>can</w:t>
      </w:r>
      <w:r>
        <w:t xml:space="preserve"> be </w:t>
      </w:r>
      <w:r w:rsidR="00E16CF0">
        <w:t>found</w:t>
      </w:r>
      <w:r>
        <w:t xml:space="preserve"> </w:t>
      </w:r>
      <w:hyperlink r:id="rId22" w:history="1">
        <w:r w:rsidR="00F97508">
          <w:rPr>
            <w:rStyle w:val="Hyperlink"/>
            <w:rFonts w:cstheme="minorBidi"/>
          </w:rPr>
          <w:t>h</w:t>
        </w:r>
        <w:r w:rsidRPr="00A337AF">
          <w:rPr>
            <w:rStyle w:val="Hyperlink"/>
            <w:rFonts w:cstheme="minorBidi"/>
          </w:rPr>
          <w:t>ere</w:t>
        </w:r>
      </w:hyperlink>
      <w:r>
        <w:t xml:space="preserve">. </w:t>
      </w:r>
      <w:r w:rsidR="00EC2374">
        <w:t xml:space="preserve"> </w:t>
      </w:r>
    </w:p>
    <w:p w14:paraId="1AB99797" w14:textId="63599F9D" w:rsidR="00835C46" w:rsidRDefault="001A66DC" w:rsidP="00835C46">
      <w:pPr>
        <w:pStyle w:val="Heading2"/>
      </w:pPr>
      <w:r>
        <w:t>Robustness check</w:t>
      </w:r>
      <w:r w:rsidR="00E922A8">
        <w:t>s</w:t>
      </w:r>
    </w:p>
    <w:p w14:paraId="5CF933D3" w14:textId="77777777" w:rsidR="002C1399" w:rsidRDefault="001A66DC" w:rsidP="00A027AB">
      <w:pPr>
        <w:pStyle w:val="Heading3"/>
      </w:pPr>
      <w:r>
        <w:t>Changing the e</w:t>
      </w:r>
      <w:r w:rsidRPr="00835C46">
        <w:t>lasticity of substitution</w:t>
      </w:r>
      <w:r>
        <w:t xml:space="preserve"> between house ownership and house rent</w:t>
      </w:r>
    </w:p>
    <w:p w14:paraId="5F4619CA" w14:textId="44D42A9E" w:rsidR="00835C46" w:rsidRDefault="001A66DC" w:rsidP="00EF777C">
      <w:pPr>
        <w:pStyle w:val="BodyText"/>
      </w:pPr>
      <w:r>
        <w:t>In the following simulations</w:t>
      </w:r>
      <w:r w:rsidR="004237B2">
        <w:t>,</w:t>
      </w:r>
      <w:r>
        <w:t xml:space="preserve"> we reduce the </w:t>
      </w:r>
      <w:bookmarkStart w:id="40" w:name="OLE_LINK41"/>
      <w:r w:rsidR="004237B2">
        <w:t xml:space="preserve">elasticity of </w:t>
      </w:r>
      <w:r>
        <w:t>substitution</w:t>
      </w:r>
      <w:bookmarkEnd w:id="40"/>
      <w:r>
        <w:t xml:space="preserve"> between house ownership and house rent</w:t>
      </w:r>
      <w:r w:rsidR="00E6236F">
        <w:t xml:space="preserve"> from </w:t>
      </w:r>
      <m:oMath>
        <m:r>
          <w:rPr>
            <w:rFonts w:ascii="Cambria Math" w:hAnsi="Cambria Math"/>
          </w:rPr>
          <m:t>ε</m:t>
        </m:r>
        <m:r>
          <m:rPr>
            <m:sty m:val="p"/>
          </m:rPr>
          <w:rPr>
            <w:rFonts w:ascii="Cambria Math" w:hAnsi="Cambria Math"/>
          </w:rPr>
          <m:t>=10</m:t>
        </m:r>
      </m:oMath>
      <w:r w:rsidR="00E6236F">
        <w:t xml:space="preserve"> to </w:t>
      </w:r>
      <m:oMath>
        <m:r>
          <w:rPr>
            <w:rFonts w:ascii="Cambria Math" w:hAnsi="Cambria Math"/>
          </w:rPr>
          <m:t>ε</m:t>
        </m:r>
        <m:r>
          <m:rPr>
            <m:sty m:val="p"/>
          </m:rPr>
          <w:rPr>
            <w:rFonts w:ascii="Cambria Math" w:hAnsi="Cambria Math"/>
          </w:rPr>
          <m:t>=</m:t>
        </m:r>
        <m:r>
          <m:rPr>
            <m:sty m:val="p"/>
          </m:rPr>
          <w:rPr>
            <w:rFonts w:ascii="Cambria Math" w:eastAsiaTheme="minorEastAsia" w:hAnsi="Cambria Math"/>
          </w:rPr>
          <m:t>2</m:t>
        </m:r>
      </m:oMath>
      <w:r>
        <w:t xml:space="preserve">. We </w:t>
      </w:r>
      <w:r w:rsidR="002F2891">
        <w:t xml:space="preserve">maintain </w:t>
      </w:r>
      <w:r w:rsidR="00735C55">
        <w:t>the</w:t>
      </w:r>
      <w:r>
        <w:t xml:space="preserve"> ownership</w:t>
      </w:r>
      <w:r w:rsidR="002F2891">
        <w:t>-</w:t>
      </w:r>
      <w:r w:rsidR="00735C55">
        <w:t>to</w:t>
      </w:r>
      <w:r w:rsidR="002F2891">
        <w:t>-</w:t>
      </w:r>
      <w:r w:rsidR="00735C55">
        <w:t>r</w:t>
      </w:r>
      <w:r>
        <w:t>ent ratio</w:t>
      </w:r>
      <w:r w:rsidR="00E6236F">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0</m:t>
                </m:r>
              </m:sub>
            </m:sSub>
          </m:num>
          <m:den>
            <m:sSub>
              <m:sSubPr>
                <m:ctrlPr>
                  <w:rPr>
                    <w:rFonts w:ascii="Cambria Math" w:hAnsi="Cambria Math"/>
                    <w:i/>
                  </w:rPr>
                </m:ctrlPr>
              </m:sSubPr>
              <m:e>
                <m:r>
                  <w:rPr>
                    <w:rFonts w:ascii="Cambria Math" w:hAnsi="Cambria Math"/>
                  </w:rPr>
                  <m:t>h</m:t>
                </m:r>
              </m:e>
              <m:sub>
                <m:r>
                  <w:rPr>
                    <w:rFonts w:ascii="Cambria Math" w:hAnsi="Cambria Math"/>
                  </w:rPr>
                  <m:t>r</m:t>
                </m:r>
              </m:sub>
            </m:sSub>
          </m:den>
        </m:f>
      </m:oMath>
      <w:r w:rsidR="00E6236F">
        <w:t xml:space="preserve">, of both </w:t>
      </w:r>
      <w:r w:rsidR="00004BF4">
        <w:t xml:space="preserve">lenders and borrowers </w:t>
      </w:r>
      <w:r w:rsidR="00735C55">
        <w:t>as</w:t>
      </w:r>
      <w:r w:rsidR="002F2891">
        <w:t xml:space="preserve"> observed</w:t>
      </w:r>
      <w:r w:rsidR="00735C55">
        <w:t xml:space="preserve"> in the data</w:t>
      </w:r>
      <w:r>
        <w:t xml:space="preserve"> by appropriate adjustment of the ownership share</w:t>
      </w:r>
      <w:r w:rsidR="00C21A24">
        <w:t xml:space="preserve"> in the preferences for housing</w:t>
      </w:r>
      <w:r>
        <w:t xml:space="preserve">, </w:t>
      </w:r>
      <m:oMath>
        <m:r>
          <w:rPr>
            <w:rFonts w:ascii="Cambria Math" w:hAnsi="Cambria Math"/>
          </w:rPr>
          <m:t>γ</m:t>
        </m:r>
      </m:oMath>
      <w:r w:rsidR="00E6236F">
        <w:t xml:space="preserve"> and </w:t>
      </w:r>
      <m:oMath>
        <m:sSup>
          <m:sSupPr>
            <m:ctrlPr>
              <w:rPr>
                <w:rFonts w:ascii="Cambria Math" w:hAnsi="Cambria Math"/>
                <w:i/>
                <w:iCs/>
              </w:rPr>
            </m:ctrlPr>
          </m:sSupPr>
          <m:e>
            <m:r>
              <w:rPr>
                <w:rFonts w:ascii="Cambria Math" w:hAnsi="Cambria Math"/>
              </w:rPr>
              <m:t>γ</m:t>
            </m:r>
          </m:e>
          <m:sup>
            <m:r>
              <w:rPr>
                <w:rFonts w:ascii="Cambria Math" w:hAnsi="Cambria Math"/>
              </w:rPr>
              <m:t>'</m:t>
            </m:r>
          </m:sup>
        </m:sSup>
      </m:oMath>
      <w:r w:rsidRPr="003C31AE">
        <w:rPr>
          <w:rStyle w:val="FootnoteReference"/>
        </w:rPr>
        <w:footnoteReference w:id="14"/>
      </w:r>
      <w:r>
        <w:t>.</w:t>
      </w:r>
    </w:p>
    <w:p w14:paraId="278CE116" w14:textId="27FCF145" w:rsidR="00F120BA" w:rsidRPr="007A64C5" w:rsidRDefault="00DC743F" w:rsidP="007A64C5">
      <w:pPr>
        <w:pStyle w:val="BodyText"/>
      </w:pPr>
      <w:r w:rsidRPr="00DC743F">
        <w:t>In Figure</w:t>
      </w:r>
      <w:r w:rsidRPr="00DC743F">
        <w:rPr>
          <w:rFonts w:ascii="Arial" w:hAnsi="Arial" w:cs="Arial"/>
        </w:rPr>
        <w:t> </w:t>
      </w:r>
      <w:r w:rsidRPr="00DC743F">
        <w:t>A.1, we illustrate the impact of a lower elasticity of intertemporal substitution (EIS) on the response to a monetary policy (MP) shock. As expected, for bo</w:t>
      </w:r>
      <w:r w:rsidR="007717CA">
        <w:t>rrowers</w:t>
      </w:r>
      <w:r w:rsidRPr="00DC743F">
        <w:t xml:space="preserve">, the main change is that in the medium term, the </w:t>
      </w:r>
      <w:r w:rsidRPr="00DC743F">
        <w:lastRenderedPageBreak/>
        <w:t xml:space="preserve">substitution effect disappears. The resulting reduction in rental housing, however, appears implausible and contradicts </w:t>
      </w:r>
      <w:r w:rsidR="001E6580">
        <w:t xml:space="preserve">previous </w:t>
      </w:r>
      <w:r w:rsidRPr="00DC743F">
        <w:t xml:space="preserve">empirical findings for Israel (e.g., </w:t>
      </w:r>
      <w:r w:rsidRPr="006F6D0A">
        <w:rPr>
          <w:rFonts w:asciiTheme="majorHAnsi" w:eastAsiaTheme="majorEastAsia" w:hAnsiTheme="majorHAnsi" w:cstheme="majorBidi"/>
          <w:color w:val="4F81BD" w:themeColor="accent1"/>
        </w:rPr>
        <w:t xml:space="preserve">Yakhin and </w:t>
      </w:r>
      <w:proofErr w:type="spellStart"/>
      <w:r w:rsidRPr="006F6D0A">
        <w:rPr>
          <w:rFonts w:asciiTheme="majorHAnsi" w:eastAsiaTheme="majorEastAsia" w:hAnsiTheme="majorHAnsi" w:cstheme="majorBidi"/>
          <w:color w:val="4F81BD" w:themeColor="accent1"/>
        </w:rPr>
        <w:t>Gamrasni</w:t>
      </w:r>
      <w:proofErr w:type="spellEnd"/>
      <w:r w:rsidRPr="006F6D0A">
        <w:rPr>
          <w:rFonts w:asciiTheme="majorHAnsi" w:eastAsiaTheme="majorEastAsia" w:hAnsiTheme="majorHAnsi" w:cstheme="majorBidi"/>
          <w:color w:val="4F81BD" w:themeColor="accent1"/>
        </w:rPr>
        <w:t>,</w:t>
      </w:r>
      <w:r w:rsidRPr="006F6D0A">
        <w:rPr>
          <w:rFonts w:ascii="Arial" w:eastAsiaTheme="majorEastAsia" w:hAnsi="Arial" w:cs="Arial"/>
          <w:color w:val="4F81BD" w:themeColor="accent1"/>
        </w:rPr>
        <w:t> </w:t>
      </w:r>
      <w:r w:rsidRPr="006F6D0A">
        <w:rPr>
          <w:rFonts w:asciiTheme="majorHAnsi" w:eastAsiaTheme="majorEastAsia" w:hAnsiTheme="majorHAnsi" w:cstheme="majorBidi"/>
          <w:color w:val="4F81BD" w:themeColor="accent1"/>
        </w:rPr>
        <w:t>2021</w:t>
      </w:r>
      <w:r w:rsidRPr="00DC743F">
        <w:t xml:space="preserve">), which supports our </w:t>
      </w:r>
      <w:r w:rsidR="00C7306B">
        <w:t>baseline calibration of the EIS</w:t>
      </w:r>
      <w:r w:rsidR="00432889">
        <w:t>.</w:t>
      </w:r>
      <w:bookmarkStart w:id="41" w:name="OLE_LINK23"/>
    </w:p>
    <w:p w14:paraId="62A3C0D0" w14:textId="55873D8E" w:rsidR="001236C1" w:rsidRDefault="001A66DC" w:rsidP="00716E58">
      <w:pPr>
        <w:pStyle w:val="Caption"/>
        <w:rPr>
          <w:rFonts w:cstheme="minorBidi"/>
          <w:sz w:val="20"/>
          <w:szCs w:val="16"/>
          <w:lang w:bidi="he-IL"/>
        </w:rPr>
      </w:pPr>
      <w:r w:rsidRPr="00BF7308">
        <w:rPr>
          <w:rFonts w:asciiTheme="majorHAnsi" w:hAnsiTheme="majorHAnsi"/>
          <w:iCs/>
          <w:color w:val="3333B3"/>
          <w:sz w:val="22"/>
          <w:szCs w:val="22"/>
        </w:rPr>
        <w:t>Figure A.</w:t>
      </w:r>
      <w:r w:rsidR="006050BF" w:rsidRPr="00BF7308">
        <w:rPr>
          <w:rFonts w:asciiTheme="majorHAnsi" w:hAnsiTheme="majorHAnsi"/>
          <w:iCs/>
          <w:color w:val="3333B3"/>
          <w:sz w:val="22"/>
          <w:szCs w:val="22"/>
        </w:rPr>
        <w:t>1</w:t>
      </w:r>
      <w:r w:rsidRPr="00BF7308">
        <w:rPr>
          <w:rFonts w:asciiTheme="majorHAnsi" w:hAnsiTheme="majorHAnsi"/>
          <w:iCs/>
          <w:color w:val="3333B3"/>
          <w:sz w:val="22"/>
          <w:szCs w:val="22"/>
        </w:rPr>
        <w:t>:</w:t>
      </w:r>
      <w:r w:rsidRPr="00BF7308">
        <w:rPr>
          <w:rFonts w:asciiTheme="majorHAnsi" w:hAnsiTheme="majorHAnsi"/>
          <w:color w:val="3333B3"/>
          <w:sz w:val="22"/>
          <w:szCs w:val="22"/>
        </w:rPr>
        <w:t xml:space="preserve"> </w:t>
      </w:r>
      <w:bookmarkEnd w:id="41"/>
      <w:r w:rsidR="00716E58" w:rsidRPr="00716E58">
        <w:rPr>
          <w:rFonts w:asciiTheme="majorHAnsi" w:hAnsiTheme="majorHAnsi"/>
          <w:sz w:val="22"/>
          <w:szCs w:val="22"/>
        </w:rPr>
        <w:t>Response to a 1 p.p. monetary policy shock</w:t>
      </w:r>
      <w:r w:rsidR="00716E58">
        <w:rPr>
          <w:rFonts w:asciiTheme="majorHAnsi" w:hAnsiTheme="majorHAnsi"/>
          <w:sz w:val="22"/>
          <w:szCs w:val="22"/>
        </w:rPr>
        <w:t xml:space="preserve">, for  </w:t>
      </w:r>
      <m:oMath>
        <m:r>
          <w:rPr>
            <w:rFonts w:ascii="Cambria Math" w:hAnsi="Cambria Math"/>
            <w:sz w:val="22"/>
            <w:szCs w:val="22"/>
          </w:rPr>
          <m:t>ε=10</m:t>
        </m:r>
      </m:oMath>
      <w:r w:rsidR="00716E58">
        <w:rPr>
          <w:rFonts w:asciiTheme="majorHAnsi" w:hAnsiTheme="majorHAnsi"/>
          <w:sz w:val="22"/>
          <w:szCs w:val="22"/>
        </w:rPr>
        <w:t xml:space="preserve"> (blue line) and for</w:t>
      </w:r>
      <w:r w:rsidR="00716E58" w:rsidRPr="00716E58">
        <w:rPr>
          <w:rFonts w:asciiTheme="majorHAnsi" w:hAnsiTheme="majorHAnsi"/>
          <w:sz w:val="22"/>
          <w:szCs w:val="22"/>
        </w:rPr>
        <w:t xml:space="preserve"> </w:t>
      </w:r>
      <m:oMath>
        <m:r>
          <w:rPr>
            <w:rFonts w:ascii="Cambria Math" w:hAnsi="Cambria Math"/>
            <w:sz w:val="22"/>
            <w:szCs w:val="22"/>
          </w:rPr>
          <m:t>ε=2</m:t>
        </m:r>
      </m:oMath>
      <w:r w:rsidR="00716E58" w:rsidRPr="00716E58">
        <w:rPr>
          <w:rFonts w:asciiTheme="majorHAnsi" w:hAnsiTheme="majorHAnsi"/>
          <w:sz w:val="22"/>
          <w:szCs w:val="22"/>
        </w:rPr>
        <w:t xml:space="preserve"> (orange line)</w:t>
      </w:r>
      <w:r w:rsidRPr="00417513">
        <w:rPr>
          <w:noProof/>
          <w:sz w:val="22"/>
          <w:szCs w:val="18"/>
          <w:lang w:bidi="he-IL"/>
        </w:rPr>
        <w:drawing>
          <wp:inline distT="0" distB="0" distL="0" distR="0" wp14:anchorId="22E61661" wp14:editId="6FF53CF6">
            <wp:extent cx="5270500" cy="4975225"/>
            <wp:effectExtent l="0" t="0" r="6350" b="0"/>
            <wp:docPr id="291199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99936" name="Picture 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270500" cy="4975225"/>
                    </a:xfrm>
                    <a:prstGeom prst="rect">
                      <a:avLst/>
                    </a:prstGeom>
                    <a:noFill/>
                    <a:ln>
                      <a:noFill/>
                    </a:ln>
                  </pic:spPr>
                </pic:pic>
              </a:graphicData>
            </a:graphic>
          </wp:inline>
        </w:drawing>
      </w:r>
    </w:p>
    <w:p w14:paraId="3F28D1C4" w14:textId="47E8ADB9" w:rsidR="00615F44" w:rsidRDefault="001A66DC" w:rsidP="00263C04">
      <w:pPr>
        <w:pStyle w:val="Caption"/>
        <w:jc w:val="both"/>
        <w:rPr>
          <w:rFonts w:cstheme="minorBidi"/>
          <w:sz w:val="20"/>
          <w:szCs w:val="16"/>
          <w:lang w:bidi="he-IL"/>
        </w:rPr>
      </w:pPr>
      <w:r>
        <w:rPr>
          <w:rFonts w:cstheme="minorBidi"/>
          <w:sz w:val="20"/>
          <w:szCs w:val="16"/>
          <w:lang w:bidi="he-IL"/>
        </w:rPr>
        <w:t xml:space="preserve">Notes: </w:t>
      </w:r>
      <w:r>
        <w:rPr>
          <w:sz w:val="20"/>
          <w:szCs w:val="16"/>
        </w:rPr>
        <w:t xml:space="preserve">Variables (in deviation from </w:t>
      </w:r>
      <w:r w:rsidR="00F22396">
        <w:rPr>
          <w:sz w:val="20"/>
          <w:szCs w:val="16"/>
        </w:rPr>
        <w:t xml:space="preserve">their </w:t>
      </w:r>
      <w:r>
        <w:rPr>
          <w:sz w:val="20"/>
          <w:szCs w:val="16"/>
        </w:rPr>
        <w:t>steady state): output, inflation, real central bank interest rate, in</w:t>
      </w:r>
      <w:r w:rsidR="00006338">
        <w:rPr>
          <w:sz w:val="20"/>
          <w:szCs w:val="16"/>
        </w:rPr>
        <w:t>vestment in dwellings</w:t>
      </w:r>
      <w:r>
        <w:rPr>
          <w:sz w:val="20"/>
          <w:szCs w:val="16"/>
        </w:rPr>
        <w:t xml:space="preserve">, ownership by unconstrained households, renting by unconstrained households, </w:t>
      </w:r>
      <w:r w:rsidRPr="00700947">
        <w:rPr>
          <w:sz w:val="20"/>
          <w:szCs w:val="16"/>
        </w:rPr>
        <w:t xml:space="preserve">consumption by unconstrained households, </w:t>
      </w:r>
      <w:r w:rsidRPr="00700947">
        <w:rPr>
          <w:rFonts w:cstheme="minorBidi"/>
          <w:sz w:val="20"/>
          <w:szCs w:val="16"/>
          <w:lang w:bidi="he-IL"/>
        </w:rPr>
        <w:t xml:space="preserve">stock of debt, </w:t>
      </w:r>
      <w:r w:rsidRPr="00700947">
        <w:rPr>
          <w:sz w:val="20"/>
          <w:szCs w:val="16"/>
        </w:rPr>
        <w:t xml:space="preserve">ownership by constrained households, renting by constrained households, consumption by constrained households, new debt, </w:t>
      </w:r>
      <w:r w:rsidRPr="00700947">
        <w:rPr>
          <w:rFonts w:cstheme="minorBidi"/>
          <w:sz w:val="20"/>
          <w:szCs w:val="16"/>
          <w:lang w:bidi="he-IL"/>
        </w:rPr>
        <w:t xml:space="preserve">nominal and real rent prices, real home prices and rent-to-home price ratio. The y-axes </w:t>
      </w:r>
      <w:r w:rsidR="00F80A3D">
        <w:rPr>
          <w:rFonts w:cstheme="minorBidi"/>
          <w:sz w:val="20"/>
          <w:szCs w:val="16"/>
          <w:lang w:bidi="he-IL"/>
        </w:rPr>
        <w:t>present the</w:t>
      </w:r>
      <w:r w:rsidR="00E15D4F">
        <w:rPr>
          <w:rFonts w:cstheme="minorBidi"/>
          <w:sz w:val="20"/>
          <w:szCs w:val="16"/>
          <w:lang w:bidi="he-IL"/>
        </w:rPr>
        <w:t xml:space="preserve"> </w:t>
      </w:r>
      <w:r w:rsidRPr="00700947">
        <w:rPr>
          <w:rFonts w:cstheme="minorBidi"/>
          <w:sz w:val="20"/>
          <w:szCs w:val="16"/>
          <w:lang w:bidi="he-IL"/>
        </w:rPr>
        <w:t>percent deviation of each variable from its steady state in annualized terms, except for inflation</w:t>
      </w:r>
      <w:r w:rsidRPr="00BF4C70">
        <w:rPr>
          <w:rFonts w:cstheme="minorBidi"/>
          <w:sz w:val="20"/>
          <w:szCs w:val="16"/>
          <w:lang w:bidi="he-IL"/>
        </w:rPr>
        <w:t xml:space="preserve"> and interest rates, which are</w:t>
      </w:r>
      <w:r w:rsidR="00BA56B6">
        <w:rPr>
          <w:rFonts w:cstheme="minorBidi"/>
          <w:sz w:val="20"/>
          <w:szCs w:val="16"/>
          <w:lang w:bidi="he-IL"/>
        </w:rPr>
        <w:t xml:space="preserve"> shown</w:t>
      </w:r>
      <w:r w:rsidRPr="00BF4C70">
        <w:rPr>
          <w:rFonts w:cstheme="minorBidi"/>
          <w:sz w:val="20"/>
          <w:szCs w:val="16"/>
          <w:lang w:bidi="he-IL"/>
        </w:rPr>
        <w:t xml:space="preserve"> </w:t>
      </w:r>
      <w:r w:rsidR="00F80A3D">
        <w:rPr>
          <w:rFonts w:cstheme="minorBidi"/>
          <w:sz w:val="20"/>
          <w:szCs w:val="16"/>
          <w:lang w:bidi="he-IL"/>
        </w:rPr>
        <w:t>as</w:t>
      </w:r>
      <w:r w:rsidRPr="00BF4C70">
        <w:rPr>
          <w:rFonts w:cstheme="minorBidi"/>
          <w:sz w:val="20"/>
          <w:szCs w:val="16"/>
          <w:lang w:bidi="he-IL"/>
        </w:rPr>
        <w:t xml:space="preserve"> percentage point deviations.</w:t>
      </w:r>
    </w:p>
    <w:p w14:paraId="1C041CC1" w14:textId="77777777" w:rsidR="00F120BA" w:rsidRDefault="00F120BA" w:rsidP="006721D4">
      <w:pPr>
        <w:pStyle w:val="Caption"/>
        <w:rPr>
          <w:color w:val="3333B3"/>
          <w:sz w:val="22"/>
          <w:szCs w:val="22"/>
        </w:rPr>
      </w:pPr>
    </w:p>
    <w:p w14:paraId="544855B7" w14:textId="7E08203F" w:rsidR="007A64C5" w:rsidRPr="007A64C5" w:rsidRDefault="007A64C5" w:rsidP="007A64C5">
      <w:pPr>
        <w:pStyle w:val="BodyText"/>
      </w:pPr>
      <w:r w:rsidRPr="00B717D9">
        <w:t>We now turn to the LTV shock presented in Figure</w:t>
      </w:r>
      <w:r w:rsidRPr="00B717D9">
        <w:rPr>
          <w:rFonts w:ascii="Arial" w:hAnsi="Arial" w:cs="Arial"/>
        </w:rPr>
        <w:t> </w:t>
      </w:r>
      <w:r w:rsidRPr="00B717D9">
        <w:t xml:space="preserve">A.2. When the elasticity of intertemporal substitution (EIS) is lower, borrowers still shift toward rental housing, but the substitution effect is considerably weaker. Consequently, the increase in rental demand is much smaller and insufficient to offset the decline in homeownership. This leads to a more pronounced overall </w:t>
      </w:r>
      <w:r w:rsidRPr="00B717D9">
        <w:lastRenderedPageBreak/>
        <w:t>reduction in housing demand compared with the scenario featuring a higher EIS.</w:t>
      </w:r>
      <w:r>
        <w:t xml:space="preserve"> </w:t>
      </w:r>
      <w:r w:rsidRPr="004E1B79">
        <w:t xml:space="preserve">Consequently, the increase in investment is significantly weaker compared to the benchmark case. </w:t>
      </w:r>
    </w:p>
    <w:p w14:paraId="64CFD5B4" w14:textId="2C2BD103" w:rsidR="00970F5F" w:rsidRDefault="001A66DC" w:rsidP="00F84D7F">
      <w:pPr>
        <w:bidi w:val="0"/>
        <w:jc w:val="center"/>
        <w:rPr>
          <w:sz w:val="20"/>
          <w:szCs w:val="16"/>
        </w:rPr>
      </w:pPr>
      <w:r w:rsidRPr="00A10E81">
        <w:rPr>
          <w:rFonts w:asciiTheme="majorHAnsi" w:hAnsiTheme="majorHAnsi"/>
          <w:i/>
          <w:iCs/>
          <w:color w:val="3333B3"/>
        </w:rPr>
        <w:t>Figure A.</w:t>
      </w:r>
      <w:r w:rsidR="006050BF" w:rsidRPr="00A10E81">
        <w:rPr>
          <w:rFonts w:asciiTheme="majorHAnsi" w:hAnsiTheme="majorHAnsi"/>
          <w:i/>
          <w:iCs/>
          <w:color w:val="3333B3"/>
        </w:rPr>
        <w:t>2</w:t>
      </w:r>
      <w:r w:rsidRPr="00A10E81">
        <w:rPr>
          <w:rFonts w:asciiTheme="majorHAnsi" w:hAnsiTheme="majorHAnsi"/>
          <w:i/>
          <w:iCs/>
          <w:color w:val="3333B3"/>
        </w:rPr>
        <w:t xml:space="preserve">: </w:t>
      </w:r>
      <w:r w:rsidR="00A307AF" w:rsidRPr="006D0EFF">
        <w:rPr>
          <w:rFonts w:asciiTheme="majorHAnsi" w:hAnsiTheme="majorHAnsi"/>
          <w:i/>
          <w:iCs/>
        </w:rPr>
        <w:t>Response to a LTV shock of 10 p.p.</w:t>
      </w:r>
      <w:r w:rsidR="00F84D7F" w:rsidRPr="006D0EFF">
        <w:rPr>
          <w:rFonts w:asciiTheme="majorHAnsi" w:hAnsiTheme="majorHAnsi"/>
          <w:i/>
          <w:iCs/>
        </w:rPr>
        <w:t>,</w:t>
      </w:r>
      <w:r w:rsidR="00A307AF" w:rsidRPr="006D0EFF">
        <w:rPr>
          <w:rFonts w:asciiTheme="majorHAnsi" w:hAnsiTheme="majorHAnsi"/>
          <w:i/>
          <w:iCs/>
        </w:rPr>
        <w:t xml:space="preserve"> </w:t>
      </w:r>
      <w:r w:rsidR="00F84D7F" w:rsidRPr="006D0EFF">
        <w:rPr>
          <w:rFonts w:asciiTheme="majorHAnsi" w:hAnsiTheme="majorHAnsi"/>
          <w:i/>
          <w:iCs/>
        </w:rPr>
        <w:t xml:space="preserve">for  </w:t>
      </w:r>
      <m:oMath>
        <m:r>
          <w:rPr>
            <w:rFonts w:ascii="Cambria Math" w:hAnsi="Cambria Math"/>
          </w:rPr>
          <m:t>ε=10</m:t>
        </m:r>
      </m:oMath>
      <w:r w:rsidR="00F84D7F" w:rsidRPr="006D0EFF">
        <w:rPr>
          <w:rFonts w:asciiTheme="majorHAnsi" w:hAnsiTheme="majorHAnsi"/>
          <w:i/>
          <w:iCs/>
        </w:rPr>
        <w:t xml:space="preserve"> (blue line) and for </w:t>
      </w:r>
      <m:oMath>
        <m:r>
          <w:rPr>
            <w:rFonts w:ascii="Cambria Math" w:hAnsi="Cambria Math"/>
          </w:rPr>
          <m:t>ε=2</m:t>
        </m:r>
      </m:oMath>
      <w:r w:rsidR="00F84D7F" w:rsidRPr="006D0EFF">
        <w:rPr>
          <w:rFonts w:asciiTheme="majorHAnsi" w:hAnsiTheme="majorHAnsi"/>
          <w:i/>
          <w:iCs/>
        </w:rPr>
        <w:t xml:space="preserve"> (orange line)</w:t>
      </w:r>
      <w:r w:rsidR="00F84D7F" w:rsidRPr="00A10E81">
        <w:rPr>
          <w:rFonts w:asciiTheme="majorHAnsi" w:hAnsiTheme="majorHAnsi"/>
          <w:i/>
          <w:iCs/>
          <w:noProof/>
        </w:rPr>
        <w:t xml:space="preserve"> </w:t>
      </w:r>
      <w:r w:rsidR="00D36E6E">
        <w:rPr>
          <w:noProof/>
          <w:sz w:val="20"/>
          <w:szCs w:val="16"/>
        </w:rPr>
        <w:drawing>
          <wp:inline distT="0" distB="0" distL="0" distR="0" wp14:anchorId="2E308C46" wp14:editId="17822A48">
            <wp:extent cx="5270500" cy="4975225"/>
            <wp:effectExtent l="0" t="0" r="6350" b="0"/>
            <wp:docPr id="622986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86787" name="Picture 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270500" cy="4975225"/>
                    </a:xfrm>
                    <a:prstGeom prst="rect">
                      <a:avLst/>
                    </a:prstGeom>
                    <a:noFill/>
                    <a:ln>
                      <a:noFill/>
                    </a:ln>
                  </pic:spPr>
                </pic:pic>
              </a:graphicData>
            </a:graphic>
          </wp:inline>
        </w:drawing>
      </w:r>
    </w:p>
    <w:p w14:paraId="14464012" w14:textId="06F5F77B" w:rsidR="002F6D88" w:rsidRDefault="001A66DC" w:rsidP="00962A97">
      <w:pPr>
        <w:pStyle w:val="Caption"/>
        <w:jc w:val="both"/>
      </w:pPr>
      <w:r w:rsidRPr="0055764F">
        <w:rPr>
          <w:sz w:val="20"/>
          <w:szCs w:val="16"/>
        </w:rPr>
        <w:t xml:space="preserve">Notes: Variables (in deviation from </w:t>
      </w:r>
      <w:r w:rsidR="00816F75">
        <w:rPr>
          <w:sz w:val="20"/>
          <w:szCs w:val="16"/>
        </w:rPr>
        <w:t xml:space="preserve">their </w:t>
      </w:r>
      <w:r w:rsidRPr="0055764F">
        <w:rPr>
          <w:sz w:val="20"/>
          <w:szCs w:val="16"/>
        </w:rPr>
        <w:t xml:space="preserve">steady state): output, inflation, real central bank interest rate, investment </w:t>
      </w:r>
      <w:r w:rsidR="00006338">
        <w:rPr>
          <w:sz w:val="20"/>
          <w:szCs w:val="16"/>
        </w:rPr>
        <w:t>in dwellings</w:t>
      </w:r>
      <w:r w:rsidRPr="0055764F">
        <w:rPr>
          <w:sz w:val="20"/>
          <w:szCs w:val="16"/>
        </w:rPr>
        <w:t xml:space="preserve">, ownership by unconstrained households, renting by unconstrained households, consumption by unconstrained households, stock of debt, ownership by constrained households, renting by constrained households, consumption by constrained households, new debt, nominal and real rent prices, real home prices and rent-to-home price ratio. The y-axes </w:t>
      </w:r>
      <w:r w:rsidR="00962A97">
        <w:rPr>
          <w:sz w:val="20"/>
          <w:szCs w:val="16"/>
        </w:rPr>
        <w:t>present</w:t>
      </w:r>
      <w:r w:rsidRPr="0055764F">
        <w:rPr>
          <w:sz w:val="20"/>
          <w:szCs w:val="16"/>
        </w:rPr>
        <w:t xml:space="preserve"> </w:t>
      </w:r>
      <w:r w:rsidR="00962A97">
        <w:rPr>
          <w:sz w:val="20"/>
          <w:szCs w:val="16"/>
        </w:rPr>
        <w:t>the</w:t>
      </w:r>
      <w:r w:rsidR="00C350C2">
        <w:rPr>
          <w:sz w:val="20"/>
          <w:szCs w:val="16"/>
        </w:rPr>
        <w:t xml:space="preserve"> </w:t>
      </w:r>
      <w:r w:rsidRPr="0055764F">
        <w:rPr>
          <w:sz w:val="20"/>
          <w:szCs w:val="16"/>
        </w:rPr>
        <w:t xml:space="preserve">percent deviation of each variable from its steady state in annualized terms, except for inflation and interest rates, which are </w:t>
      </w:r>
      <w:r w:rsidR="00C350C2">
        <w:rPr>
          <w:sz w:val="20"/>
          <w:szCs w:val="16"/>
        </w:rPr>
        <w:t xml:space="preserve">shown </w:t>
      </w:r>
      <w:r w:rsidR="00962A97">
        <w:rPr>
          <w:sz w:val="20"/>
          <w:szCs w:val="16"/>
        </w:rPr>
        <w:t>as</w:t>
      </w:r>
      <w:r w:rsidRPr="0055764F">
        <w:rPr>
          <w:sz w:val="20"/>
          <w:szCs w:val="16"/>
        </w:rPr>
        <w:t xml:space="preserve"> percentage point deviations.</w:t>
      </w:r>
    </w:p>
    <w:p w14:paraId="365A1BD6" w14:textId="77777777" w:rsidR="00EC7061" w:rsidRPr="00300D14" w:rsidRDefault="00EC7061" w:rsidP="00EC7061">
      <w:pPr>
        <w:pStyle w:val="BodyText"/>
        <w:jc w:val="center"/>
        <w:rPr>
          <w:lang w:bidi="he-IL"/>
        </w:rPr>
      </w:pPr>
    </w:p>
    <w:sectPr w:rsidR="00EC7061" w:rsidRPr="00300D14" w:rsidSect="002D287C">
      <w:footerReference w:type="default" r:id="rId25"/>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FC55" w14:textId="77777777" w:rsidR="006708AD" w:rsidRDefault="006708AD" w:rsidP="00531BC6">
      <w:pPr>
        <w:spacing w:after="0" w:line="240" w:lineRule="auto"/>
      </w:pPr>
      <w:r>
        <w:separator/>
      </w:r>
    </w:p>
  </w:endnote>
  <w:endnote w:type="continuationSeparator" w:id="0">
    <w:p w14:paraId="67702A8C" w14:textId="77777777" w:rsidR="006708AD" w:rsidRDefault="006708AD" w:rsidP="00531BC6">
      <w:pPr>
        <w:spacing w:after="0" w:line="240" w:lineRule="auto"/>
      </w:pPr>
      <w:r>
        <w:continuationSeparator/>
      </w:r>
    </w:p>
  </w:endnote>
  <w:endnote w:type="continuationNotice" w:id="1">
    <w:p w14:paraId="5855BEB0" w14:textId="77777777" w:rsidR="006708AD" w:rsidRDefault="006708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opia">
    <w:panose1 w:val="02000503000000000000"/>
    <w:charset w:val="00"/>
    <w:family w:val="modern"/>
    <w:notTrueType/>
    <w:pitch w:val="variable"/>
    <w:sig w:usb0="800000AF" w:usb1="40000048" w:usb2="00000000" w:usb3="00000000" w:csb0="00000001" w:csb1="00000000"/>
  </w:font>
  <w:font w:name="David">
    <w:panose1 w:val="020E0502060401010101"/>
    <w:charset w:val="00"/>
    <w:family w:val="swiss"/>
    <w:pitch w:val="variable"/>
    <w:sig w:usb0="00000803" w:usb1="00000000" w:usb2="00000000" w:usb3="00000000" w:csb0="00000021" w:csb1="00000000"/>
    <w:embedRegular r:id="rId1" w:subsetted="1" w:fontKey="{452A13F1-5E8A-45D8-B665-E9F6A532D6F8}"/>
  </w:font>
  <w:font w:name="Consolas">
    <w:panose1 w:val="020B0609020204030204"/>
    <w:charset w:val="00"/>
    <w:family w:val="modern"/>
    <w:pitch w:val="fixed"/>
    <w:sig w:usb0="E00006FF" w:usb1="0000FCFF" w:usb2="00000001" w:usb3="00000000" w:csb0="0000019F" w:csb1="00000000"/>
  </w:font>
  <w:font w:name="PLIEF D+ Gulliver">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embedRegular r:id="rId2" w:fontKey="{5F776C4C-94A3-4F61-A256-580FF8DC8809}"/>
    <w:embedItalic r:id="rId3" w:fontKey="{5B88F667-551A-460C-8DAF-95143A057C99}"/>
  </w:font>
  <w:font w:name="Calibri">
    <w:panose1 w:val="020F0502020204030204"/>
    <w:charset w:val="00"/>
    <w:family w:val="swiss"/>
    <w:pitch w:val="variable"/>
    <w:sig w:usb0="E4002EFF" w:usb1="C200247B" w:usb2="00000009" w:usb3="00000000" w:csb0="000001FF" w:csb1="00000000"/>
    <w:embedItalic r:id="rId4" w:subsetted="1" w:fontKey="{737D80D1-F5E8-4E1A-A496-6F3B46E5F569}"/>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subsetted="1" w:fontKey="{A0F1AFFC-0C5B-41FE-B1BF-9B07CA4DC3D2}"/>
    <w:embedItalic r:id="rId6" w:subsetted="1" w:fontKey="{D699E696-6C11-4516-8253-BF0B2765B71E}"/>
  </w:font>
  <w:font w:name="Generic0-Regular">
    <w:panose1 w:val="00000000000000000000"/>
    <w:charset w:val="B1"/>
    <w:family w:val="auto"/>
    <w:notTrueType/>
    <w:pitch w:val="default"/>
    <w:sig w:usb0="00000801" w:usb1="0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39313538"/>
      <w:docPartObj>
        <w:docPartGallery w:val="Page Numbers (Bottom of Page)"/>
        <w:docPartUnique/>
      </w:docPartObj>
    </w:sdtPr>
    <w:sdtEndPr>
      <w:rPr>
        <w:noProof/>
      </w:rPr>
    </w:sdtEndPr>
    <w:sdtContent>
      <w:p w14:paraId="04974C8B" w14:textId="11D43FD2" w:rsidR="00124536" w:rsidRDefault="00124536">
        <w:pPr>
          <w:pStyle w:val="Footer"/>
          <w:jc w:val="center"/>
        </w:pPr>
        <w:r>
          <w:fldChar w:fldCharType="begin"/>
        </w:r>
        <w:r>
          <w:instrText xml:space="preserve"> PAGE   \* MERGEFORMAT </w:instrText>
        </w:r>
        <w:r>
          <w:fldChar w:fldCharType="separate"/>
        </w:r>
        <w:r w:rsidR="004F2D0D">
          <w:rPr>
            <w:noProof/>
            <w:rtl/>
          </w:rPr>
          <w:t>38</w:t>
        </w:r>
        <w:r>
          <w:rPr>
            <w:noProof/>
          </w:rPr>
          <w:fldChar w:fldCharType="end"/>
        </w:r>
      </w:p>
    </w:sdtContent>
  </w:sdt>
  <w:p w14:paraId="3B602A1E" w14:textId="77777777" w:rsidR="00124536" w:rsidRPr="00037CF9" w:rsidRDefault="00124536" w:rsidP="00037CF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03547" w14:textId="77777777" w:rsidR="006708AD" w:rsidRDefault="006708AD" w:rsidP="00A015BF">
      <w:pPr>
        <w:bidi w:val="0"/>
        <w:spacing w:after="0" w:line="240" w:lineRule="auto"/>
      </w:pPr>
      <w:r>
        <w:separator/>
      </w:r>
    </w:p>
  </w:footnote>
  <w:footnote w:type="continuationSeparator" w:id="0">
    <w:p w14:paraId="686D4D40" w14:textId="77777777" w:rsidR="006708AD" w:rsidRDefault="006708AD" w:rsidP="00531BC6">
      <w:pPr>
        <w:spacing w:after="0" w:line="240" w:lineRule="auto"/>
      </w:pPr>
      <w:r>
        <w:continuationSeparator/>
      </w:r>
    </w:p>
  </w:footnote>
  <w:footnote w:type="continuationNotice" w:id="1">
    <w:p w14:paraId="6A00E204" w14:textId="77777777" w:rsidR="006708AD" w:rsidRDefault="006708AD">
      <w:pPr>
        <w:spacing w:after="0" w:line="240" w:lineRule="auto"/>
      </w:pPr>
    </w:p>
  </w:footnote>
  <w:footnote w:id="2">
    <w:p w14:paraId="46353041" w14:textId="4C44E321" w:rsidR="00124536" w:rsidRDefault="00124536" w:rsidP="00763080">
      <w:pPr>
        <w:pStyle w:val="FootnoteText"/>
        <w:bidi w:val="0"/>
        <w:jc w:val="both"/>
      </w:pPr>
      <w:r w:rsidRPr="003C31AE">
        <w:rPr>
          <w:rStyle w:val="FootnoteReference"/>
        </w:rPr>
        <w:footnoteRef/>
      </w:r>
      <w:r>
        <w:rPr>
          <w:rFonts w:asciiTheme="majorHAnsi" w:hAnsiTheme="majorHAnsi" w:cs="Segoe UI"/>
        </w:rPr>
        <w:t xml:space="preserve"> </w:t>
      </w:r>
      <w:r w:rsidR="00763080" w:rsidRPr="00763080">
        <w:rPr>
          <w:rFonts w:asciiTheme="majorHAnsi" w:hAnsiTheme="majorHAnsi" w:cs="Segoe UI"/>
          <w:color w:val="0081AD"/>
        </w:rPr>
        <w:fldChar w:fldCharType="begin"/>
      </w:r>
      <w:r w:rsidR="00763080" w:rsidRPr="00763080">
        <w:rPr>
          <w:rFonts w:asciiTheme="majorHAnsi" w:hAnsiTheme="majorHAnsi" w:cs="Segoe UI"/>
          <w:color w:val="0081AD"/>
        </w:rPr>
        <w:instrText xml:space="preserve"> ADDIN ZOTERO_ITEM CSL_CITATION {"citationID":"CmHUTDrs","properties":{"unsorted":false,"formattedCitation":"Ribon (2023)","plainCitation":"Ribon (2023)","noteIndex":1},"citationItems":[{"id":1670,"uris":["http://zotero.org/users/6680486/items/CVSSL9PD"],"itemData":{"id":1670,"type":"article","abstract":"We examine the interaction between housing-market macroprudential (MaP) measures, monetary policy, and housing market dynamics in Israel. Using a structural VAR, we show that monetary policy and MaP policy react to positive shocks to house prices and to the volume of transactions in the housing market, acting as complementary policies, but do not react to changes in the levels of mortgage debt. We find that MaP measures are tigghtened in response to negative (accomodative) monetary policy shocks, offsetting their effect, while monetary policy only weakly reacts to shocks to MaP measures. Similar to the findings in previous research, contractionary monetary policy and MaP measures tend to mitigate the increase in house prices. Transaction volume declines in response to monetary tightening, and is also reduced in response to MaP measures, after a temporary increase. While monetary policy does not significantly change housing debt, MaP measures do have a mitigating effect on debt after a few periods. Our results are robust to alternative specifications.","citation-key":"ribonInteractionMacroprudentialMonetary2023","collection-number":"2023.11","collection-title":"Discussion Paper Series","language":"en","publisher-place":"Bank of Israel Research Department","source":"Zotero","title":"The Interaction between Macroprudential and Monetary Policies and the Housing Market – A VAR Examination for Israel","URL":"https://boiwebrepec.azurefd.net/RePEc/boi/wpaper/WP_2023.11.pdf","author":[{"family":"Ribon","given":"Sigal"}],"issued":{"date-parts":[["2023",7]]}}}],"schema":"https://github.com/citation-style-language/schema/raw/master/csl-citation.json"} </w:instrText>
      </w:r>
      <w:r w:rsidR="00763080" w:rsidRPr="00763080">
        <w:rPr>
          <w:rFonts w:asciiTheme="majorHAnsi" w:hAnsiTheme="majorHAnsi" w:cs="Segoe UI"/>
          <w:color w:val="0081AD"/>
        </w:rPr>
        <w:fldChar w:fldCharType="separate"/>
      </w:r>
      <w:r w:rsidR="00763080" w:rsidRPr="00763080">
        <w:rPr>
          <w:rFonts w:ascii="Utopia" w:hAnsi="Utopia"/>
          <w:color w:val="0081AD"/>
        </w:rPr>
        <w:t>Ribon (2023)</w:t>
      </w:r>
      <w:r w:rsidR="00763080" w:rsidRPr="00763080">
        <w:rPr>
          <w:rFonts w:asciiTheme="majorHAnsi" w:hAnsiTheme="majorHAnsi" w:cs="Segoe UI"/>
          <w:color w:val="0081AD"/>
        </w:rPr>
        <w:fldChar w:fldCharType="end"/>
      </w:r>
      <w:r w:rsidR="00763080">
        <w:rPr>
          <w:rFonts w:asciiTheme="majorHAnsi" w:hAnsiTheme="majorHAnsi" w:cs="Segoe UI"/>
        </w:rPr>
        <w:t xml:space="preserve"> </w:t>
      </w:r>
      <w:r w:rsidRPr="004A0330">
        <w:t>represented macroprudential (MP) measures with a dummy variable assuming permanence, but this variable encompassed all MP measures, not only those targeting the housing market.</w:t>
      </w:r>
    </w:p>
  </w:footnote>
  <w:footnote w:id="3">
    <w:p w14:paraId="11828393" w14:textId="77777777" w:rsidR="00124536" w:rsidRPr="00A055A6" w:rsidRDefault="00124536" w:rsidP="003B31FA">
      <w:pPr>
        <w:pStyle w:val="NormalWeb"/>
        <w:spacing w:before="0" w:beforeAutospacing="0" w:after="0" w:afterAutospacing="0"/>
        <w:jc w:val="both"/>
        <w:rPr>
          <w:rFonts w:asciiTheme="minorHAnsi" w:eastAsiaTheme="minorHAnsi" w:hAnsiTheme="minorHAnsi" w:cstheme="minorBidi"/>
          <w:lang w:bidi="ar-SA"/>
        </w:rPr>
      </w:pPr>
      <w:r w:rsidRPr="003C31AE">
        <w:rPr>
          <w:rStyle w:val="FootnoteReference"/>
        </w:rPr>
        <w:footnoteRef/>
      </w:r>
      <w:r>
        <w:rPr>
          <w:rFonts w:asciiTheme="minorHAnsi" w:eastAsiaTheme="minorHAnsi" w:hAnsiTheme="minorHAnsi" w:cstheme="minorBidi"/>
          <w:sz w:val="20"/>
          <w:szCs w:val="20"/>
          <w:lang w:bidi="ar-SA"/>
        </w:rPr>
        <w:t xml:space="preserve"> </w:t>
      </w:r>
      <w:r w:rsidRPr="006315FD">
        <w:rPr>
          <w:rFonts w:asciiTheme="majorHAnsi" w:eastAsiaTheme="minorHAnsi" w:hAnsiTheme="majorHAnsi" w:cstheme="minorBidi"/>
          <w:sz w:val="20"/>
          <w:szCs w:val="20"/>
          <w:lang w:bidi="ar-SA"/>
        </w:rPr>
        <w:t xml:space="preserve">These results contradict the findings of </w:t>
      </w:r>
      <w:r w:rsidRPr="006315FD">
        <w:rPr>
          <w:rFonts w:asciiTheme="majorHAnsi" w:eastAsiaTheme="minorHAnsi" w:hAnsiTheme="majorHAnsi" w:cs="David"/>
          <w:color w:val="0081AD"/>
          <w:sz w:val="20"/>
          <w:szCs w:val="20"/>
        </w:rPr>
        <w:fldChar w:fldCharType="begin"/>
      </w:r>
      <w:r w:rsidRPr="006315FD">
        <w:rPr>
          <w:rFonts w:asciiTheme="majorHAnsi" w:eastAsiaTheme="minorHAnsi" w:hAnsiTheme="majorHAnsi" w:cs="David"/>
          <w:color w:val="0081AD"/>
          <w:sz w:val="20"/>
          <w:szCs w:val="20"/>
        </w:rPr>
        <w:instrText xml:space="preserve"> ADDIN ZOTERO_ITEM CSL_CITATION {"citationID":"aopk9fjB","properties":{"formattedCitation":"Quint and Rabanal (2014); Bekiros et al. (2020); Bosshardt et al. (2023); Cair\\uc0\\u243{} and Sim (2023)","plainCitation":"Quint and Rabanal (2014); Bekiros et al. (2020); Bosshardt et al. (2023); Cairó and Sim (2023)","noteIndex":2},"citationItems":[{"id":2620,"uris":["http://zotero.org/users/6680486/items/ILXQ8H6R"],"itemData":{"id":2620,"type":"article-journal","citation-key":"quintMonetaryMacroprudentialPolicy2014","container-title":"International Journal of Central Banking","issue":"2","language":"en","source":"Zotero","title":"Monetary and Macroprudential Policy in an Estimated DSGE Model of the Euro Area","volume":"10","author":[{"family":"Quint","given":"Dominic"},{"family":"Rabanal","given":"Pau"}],"issued":{"date-parts":[["2014"]]}}},{"id":3599,"uris":["http://zotero.org/users/6680486/items/Y8WAXE5U"],"itemData":{"id":3599,"type":"article-journal","citation-key":"bekirosExpectationdrivenHousePrices2020","container-title":"Journal of Financial Stability","DOI":"10.1016/j.jfs.2020.100760","ISSN":"15723089","journalAbbreviation":"Journal of Financial Stability","language":"en","page":"100760","source":"DOI.org (Crossref)","title":"Expectation-driven house prices and debt defaults: The effectiveness of monetary and macroprudential policies","title-short":"Expectation-driven house prices and debt defaults","volume":"49","author":[{"family":"Bekiros","given":"Stelios"},{"family":"Nilavongse","given":"Rachatar"},{"family":"Uddin","given":"Gazi Salah"}],"issued":{"date-parts":[["2020",8]]}}},{"id":2986,"uris":["http://zotero.org/users/6680486/items/CKTIBCG3"],"itemData":{"id":2986,"type":"article","abstract":"This paper studies how tightening monetary policy transmits to the economy through the mortgage market and sheds new light on the distributional consequences at both individual and regional levels. We find that credit supply factors, specifically restrictions on the debt-to-income (DTI) ratio, account for most of the decline in mortgages. These effects are even more pronounced for minority and middle-income borrowers, who find themselves excluded from the credit market. Additionally, regions with historically high DTI ratios exhibit greater reductions in mortgage originations, house prices, and consumption.","citation-key":"bosshardtCreditSupplyChannel2023","collection-title":"Working Paper Series","DOI":"10.3386/w31464","genre":"Working Paper","note":"DOI: 10.3386/w31464","number":"31464","publisher":"National Bureau of Economic Research","source":"National Bureau of Economic Research","title":"The Credit Supply Channel of Monetary Policy Tightening and its Distributional Impacts","URL":"https://www.nber.org/papers/w31464","author":[{"family":"Bosshardt","given":"Joshua"},{"family":"Di Maggio","given":"Marco"},{"family":"Kakhbod","given":"Ali"},{"family":"Kermani","given":"Amir"}],"accessed":{"date-parts":[["2024",1,16]]},"issued":{"date-parts":[["2023",7]]}}},{"id":1853,"uris":["http://zotero.org/users/6680486/items/BJBRRRRT"],"itemData":{"id":1853,"type":"article-journal","citation-key":"cairoMonetaryPolicyFinancial2023","container-title":"Journal of Economic Dynamics and Control","DOI":"10.1016/j.jedc.2023.104764","ISSN":"01651889","journalAbbreviation":"Journal of Economic Dynamics and Control","language":"en","page":"104764","source":"DOI.org (Crossref)","title":"Monetary policy and financial stability","volume":"157","author":[{"family":"Cairó","given":"Isabel"},{"family":"Sim","given":"Jae"}],"issued":{"date-parts":[["2023",12]]}}}],"schema":"https://github.com/citation-style-language/schema/raw/master/csl-citation.json"} </w:instrText>
      </w:r>
      <w:r w:rsidRPr="006315FD">
        <w:rPr>
          <w:rFonts w:asciiTheme="majorHAnsi" w:eastAsiaTheme="minorHAnsi" w:hAnsiTheme="majorHAnsi" w:cs="David"/>
          <w:color w:val="0081AD"/>
          <w:sz w:val="20"/>
          <w:szCs w:val="20"/>
        </w:rPr>
        <w:fldChar w:fldCharType="separate"/>
      </w:r>
      <w:r w:rsidRPr="006315FD">
        <w:rPr>
          <w:rFonts w:asciiTheme="majorHAnsi" w:eastAsiaTheme="minorHAnsi" w:hAnsiTheme="majorHAnsi" w:cs="David"/>
          <w:color w:val="0081AD"/>
          <w:sz w:val="20"/>
          <w:szCs w:val="20"/>
        </w:rPr>
        <w:t>Quint and Rabanal (2014); Bekiros et al. (2020); Bosshardt et al. (2023); Cairó and Sim (2023)</w:t>
      </w:r>
      <w:r w:rsidRPr="006315FD">
        <w:rPr>
          <w:rFonts w:asciiTheme="majorHAnsi" w:eastAsiaTheme="minorHAnsi" w:hAnsiTheme="majorHAnsi" w:cs="David"/>
          <w:color w:val="0081AD"/>
          <w:sz w:val="20"/>
          <w:szCs w:val="20"/>
        </w:rPr>
        <w:fldChar w:fldCharType="end"/>
      </w:r>
      <w:r w:rsidRPr="006315FD">
        <w:rPr>
          <w:rFonts w:asciiTheme="majorHAnsi" w:eastAsiaTheme="minorHAnsi" w:hAnsiTheme="majorHAnsi" w:cs="David"/>
          <w:color w:val="0081AD"/>
          <w:sz w:val="20"/>
          <w:szCs w:val="20"/>
        </w:rPr>
        <w:t>,</w:t>
      </w:r>
      <w:r w:rsidRPr="006315FD">
        <w:rPr>
          <w:rFonts w:asciiTheme="majorHAnsi" w:eastAsiaTheme="minorHAnsi" w:hAnsiTheme="majorHAnsi" w:cstheme="minorBidi"/>
          <w:sz w:val="20"/>
          <w:szCs w:val="20"/>
          <w:lang w:bidi="ar-SA"/>
        </w:rPr>
        <w:t xml:space="preserve"> who found that macroprudential policies can complement monetary policy and vice versa.</w:t>
      </w:r>
    </w:p>
    <w:p w14:paraId="56FE6043" w14:textId="77777777" w:rsidR="00124536" w:rsidRDefault="00124536" w:rsidP="003B31FA">
      <w:pPr>
        <w:pStyle w:val="FootnoteText"/>
        <w:bidi w:val="0"/>
        <w:jc w:val="both"/>
      </w:pPr>
    </w:p>
  </w:footnote>
  <w:footnote w:id="4">
    <w:p w14:paraId="10090232" w14:textId="2D26FC40" w:rsidR="00124536" w:rsidRDefault="00124536" w:rsidP="007731A3">
      <w:pPr>
        <w:pStyle w:val="FootnoteText"/>
        <w:bidi w:val="0"/>
        <w:jc w:val="both"/>
      </w:pPr>
      <w:r w:rsidRPr="003C31AE">
        <w:rPr>
          <w:rStyle w:val="FootnoteReference"/>
        </w:rPr>
        <w:footnoteRef/>
      </w:r>
      <w:r>
        <w:rPr>
          <w:rtl/>
        </w:rPr>
        <w:t xml:space="preserve"> </w:t>
      </w:r>
      <w:r w:rsidRPr="007731A3">
        <w:t>As income increases, the share of households with a mortgage rises—a robust phenomenon observed worldwide.</w:t>
      </w:r>
    </w:p>
  </w:footnote>
  <w:footnote w:id="5">
    <w:p w14:paraId="2C8181EC" w14:textId="33A41028" w:rsidR="00124536" w:rsidRDefault="00124536" w:rsidP="003C4DA2">
      <w:pPr>
        <w:pStyle w:val="BodyText"/>
        <w:spacing w:line="240" w:lineRule="auto"/>
        <w:rPr>
          <w:lang w:bidi="he-IL"/>
        </w:rPr>
      </w:pPr>
      <w:r w:rsidRPr="003C31AE">
        <w:rPr>
          <w:rStyle w:val="FootnoteReference"/>
        </w:rPr>
        <w:footnoteRef/>
      </w:r>
      <w:r>
        <w:rPr>
          <w:rtl/>
        </w:rPr>
        <w:t xml:space="preserve"> </w:t>
      </w:r>
      <w:r w:rsidR="00C907E6" w:rsidRPr="00C907E6">
        <w:rPr>
          <w:sz w:val="20"/>
          <w:szCs w:val="20"/>
          <w:lang w:bidi="he-IL"/>
        </w:rPr>
        <w:t>The user cost approach compares the cost of renting with the alternative cost of owner‑occupied housing (see, for example,</w:t>
      </w:r>
      <w:r w:rsidR="003C4DA2">
        <w:rPr>
          <w:sz w:val="20"/>
          <w:szCs w:val="20"/>
          <w:lang w:bidi="he-IL"/>
        </w:rPr>
        <w:t xml:space="preserve"> </w:t>
      </w:r>
      <w:r w:rsidR="003C4DA2" w:rsidRPr="003C4DA2">
        <w:rPr>
          <w:color w:val="0081AD"/>
          <w:sz w:val="20"/>
          <w:szCs w:val="20"/>
          <w:lang w:bidi="he-IL"/>
        </w:rPr>
        <w:fldChar w:fldCharType="begin"/>
      </w:r>
      <w:r w:rsidR="003C4DA2" w:rsidRPr="003C4DA2">
        <w:rPr>
          <w:color w:val="0081AD"/>
          <w:sz w:val="20"/>
          <w:szCs w:val="20"/>
          <w:lang w:bidi="he-IL"/>
        </w:rPr>
        <w:instrText xml:space="preserve"> ADDIN ZOTERO_ITEM CSL_CITATION {"citationID":"CBgoYhVy","properties":{"unsorted":false,"formattedCitation":"Poterba (1984)","plainCitation":"Poterba (1984)","noteIndex":4},"citationItems":[{"id":638,"uris":["http://zotero.org/users/6680486/items/582S67WC"],"itemData":{"id":638,"type":"article-journal","citation-key":"poterbaTaxSubsidiesOwnerOccupied1984","container-title":"The Quarterly Journal of Economics","DOI":"10.2307/1883123","ISSN":"00335533","issue":"4","journalAbbreviation":"The Quarterly Journal of Economics","language":"en","page":"729","source":"DOI.org (Crossref)","title":"Tax Subsidies to Owner-Occupied Housing: An Asset-Market Approach","title-short":"Tax Subsidies to Owner-Occupied Housing","volume":"99","author":[{"family":"Poterba","given":"James M."}],"issued":{"date-parts":[["1984",11]]}}}],"schema":"https://github.com/citation-style-language/schema/raw/master/csl-citation.json"} </w:instrText>
      </w:r>
      <w:r w:rsidR="003C4DA2" w:rsidRPr="003C4DA2">
        <w:rPr>
          <w:color w:val="0081AD"/>
          <w:sz w:val="20"/>
          <w:szCs w:val="20"/>
          <w:lang w:bidi="he-IL"/>
        </w:rPr>
        <w:fldChar w:fldCharType="separate"/>
      </w:r>
      <w:r w:rsidR="003C4DA2" w:rsidRPr="003C4DA2">
        <w:rPr>
          <w:rFonts w:ascii="Utopia" w:hAnsi="Utopia"/>
          <w:color w:val="0081AD"/>
          <w:sz w:val="20"/>
        </w:rPr>
        <w:t>Poterba (1984)</w:t>
      </w:r>
      <w:r w:rsidR="003C4DA2" w:rsidRPr="003C4DA2">
        <w:rPr>
          <w:color w:val="0081AD"/>
          <w:sz w:val="20"/>
          <w:szCs w:val="20"/>
          <w:lang w:bidi="he-IL"/>
        </w:rPr>
        <w:fldChar w:fldCharType="end"/>
      </w:r>
      <w:r w:rsidR="00C907E6" w:rsidRPr="00C907E6">
        <w:rPr>
          <w:sz w:val="20"/>
          <w:szCs w:val="20"/>
          <w:lang w:bidi="he-IL"/>
        </w:rPr>
        <w:t>;</w:t>
      </w:r>
      <w:r w:rsidR="003C4DA2">
        <w:rPr>
          <w:sz w:val="20"/>
          <w:szCs w:val="20"/>
          <w:lang w:bidi="he-IL"/>
        </w:rPr>
        <w:t xml:space="preserve"> </w:t>
      </w:r>
      <w:r w:rsidR="003C4DA2" w:rsidRPr="003C4DA2">
        <w:rPr>
          <w:color w:val="0081AD"/>
          <w:sz w:val="20"/>
          <w:szCs w:val="20"/>
          <w:lang w:bidi="he-IL"/>
        </w:rPr>
        <w:fldChar w:fldCharType="begin"/>
      </w:r>
      <w:r w:rsidR="003C4DA2" w:rsidRPr="003C4DA2">
        <w:rPr>
          <w:color w:val="0081AD"/>
          <w:sz w:val="20"/>
          <w:szCs w:val="20"/>
          <w:lang w:bidi="he-IL"/>
        </w:rPr>
        <w:instrText xml:space="preserve"> ADDIN ZOTERO_ITEM CSL_CITATION {"citationID":"4p3a7H7A","properties":{"unsorted":false,"formattedCitation":"Svensson (2022)","plainCitation":"Svensson (2022)","noteIndex":4},"citationItems":[{"id":112,"uris":["http://zotero.org/users/6680486/items/CVB6RPS5"],"itemData":{"id":112,"type":"manuscript","abstract":"A simple frictionless model of user cost and user-cost-to-income and user-cost-to-rent ratios. Also user cost with loan-to-value restriction.","citation-key":"svenssonSimpleFrictionlessModel","genre":"Unpublished manuscript","language":"en","publisher":"Stockholm School of Economics","source":"Zotero","title":"A Simple Frictionless Model of User Cost and User-Cost-to-Income and User-Cost-to-Rent Ratios","URL":"https://larseosvensson.se/files/papers/simple-frictionless-model-user-cost.pdf","author":[{"family":"Svensson","given":"Lars E O"}],"issued":{"date-parts":[["2022",12,29]]}}}],"schema":"https://github.com/citation-style-language/schema/raw/master/csl-citation.json"} </w:instrText>
      </w:r>
      <w:r w:rsidR="003C4DA2" w:rsidRPr="003C4DA2">
        <w:rPr>
          <w:color w:val="0081AD"/>
          <w:sz w:val="20"/>
          <w:szCs w:val="20"/>
          <w:lang w:bidi="he-IL"/>
        </w:rPr>
        <w:fldChar w:fldCharType="separate"/>
      </w:r>
      <w:r w:rsidR="003C4DA2" w:rsidRPr="003C4DA2">
        <w:rPr>
          <w:rFonts w:ascii="Utopia" w:hAnsi="Utopia"/>
          <w:color w:val="0081AD"/>
          <w:sz w:val="20"/>
        </w:rPr>
        <w:t>Svensson (2022)</w:t>
      </w:r>
      <w:r w:rsidR="003C4DA2" w:rsidRPr="003C4DA2">
        <w:rPr>
          <w:color w:val="0081AD"/>
          <w:sz w:val="20"/>
          <w:szCs w:val="20"/>
          <w:lang w:bidi="he-IL"/>
        </w:rPr>
        <w:fldChar w:fldCharType="end"/>
      </w:r>
      <w:r w:rsidR="00C907E6" w:rsidRPr="00C907E6">
        <w:rPr>
          <w:sz w:val="20"/>
          <w:szCs w:val="20"/>
          <w:lang w:bidi="he-IL"/>
        </w:rPr>
        <w:t>). The basic assumption underlying this approach is perfect substitutability between rental and owner‑occupied housing.</w:t>
      </w:r>
    </w:p>
  </w:footnote>
  <w:footnote w:id="6">
    <w:p w14:paraId="7F6216AB" w14:textId="77777777" w:rsidR="00124536" w:rsidRPr="003E0136" w:rsidRDefault="00124536" w:rsidP="00A756EF">
      <w:pPr>
        <w:autoSpaceDE w:val="0"/>
        <w:autoSpaceDN w:val="0"/>
        <w:bidi w:val="0"/>
        <w:adjustRightInd w:val="0"/>
        <w:spacing w:after="0" w:line="240" w:lineRule="auto"/>
        <w:rPr>
          <w:sz w:val="20"/>
          <w:szCs w:val="20"/>
        </w:rPr>
      </w:pPr>
      <w:r w:rsidRPr="003C31AE">
        <w:rPr>
          <w:rStyle w:val="FootnoteReference"/>
        </w:rPr>
        <w:footnoteRef/>
      </w:r>
      <w:r>
        <w:rPr>
          <w:rtl/>
        </w:rPr>
        <w:t xml:space="preserve"> </w:t>
      </w:r>
      <w:r w:rsidRPr="00F26A02">
        <w:rPr>
          <w:sz w:val="20"/>
          <w:szCs w:val="20"/>
        </w:rPr>
        <w:t xml:space="preserve">Similarly to </w:t>
      </w:r>
      <w:r w:rsidRPr="001121E7">
        <w:rPr>
          <w:rFonts w:asciiTheme="majorHAnsi" w:hAnsiTheme="majorHAnsi" w:cs="David"/>
          <w:color w:val="0081AD"/>
          <w:sz w:val="20"/>
          <w:szCs w:val="20"/>
        </w:rPr>
        <w:t>Ireland (2007)</w:t>
      </w:r>
      <w:r>
        <w:rPr>
          <w:rFonts w:asciiTheme="majorHAnsi" w:hAnsiTheme="majorHAnsi" w:cs="David"/>
          <w:color w:val="0081AD"/>
          <w:sz w:val="20"/>
          <w:szCs w:val="20"/>
        </w:rPr>
        <w:t xml:space="preserve"> </w:t>
      </w:r>
      <w:r w:rsidRPr="00A756EF">
        <w:rPr>
          <w:sz w:val="20"/>
          <w:szCs w:val="20"/>
        </w:rPr>
        <w:t>and</w:t>
      </w:r>
      <w:r>
        <w:rPr>
          <w:rFonts w:asciiTheme="majorHAnsi" w:hAnsiTheme="majorHAnsi" w:cs="David"/>
          <w:color w:val="0081AD"/>
          <w:sz w:val="20"/>
          <w:szCs w:val="20"/>
        </w:rPr>
        <w:t xml:space="preserve"> </w:t>
      </w:r>
      <w:r w:rsidRPr="00A756EF">
        <w:rPr>
          <w:rFonts w:asciiTheme="majorHAnsi" w:hAnsiTheme="majorHAnsi" w:cs="David"/>
          <w:color w:val="0081AD"/>
          <w:sz w:val="20"/>
          <w:szCs w:val="20"/>
        </w:rPr>
        <w:t>Ilek and Rozenshtrom (2018)</w:t>
      </w:r>
      <w:r w:rsidRPr="00F26A02">
        <w:rPr>
          <w:sz w:val="20"/>
          <w:szCs w:val="20"/>
        </w:rPr>
        <w:t>.</w:t>
      </w:r>
      <w:r>
        <w:rPr>
          <w:sz w:val="20"/>
          <w:szCs w:val="20"/>
        </w:rPr>
        <w:t xml:space="preserve"> </w:t>
      </w:r>
    </w:p>
  </w:footnote>
  <w:footnote w:id="7">
    <w:p w14:paraId="710C9973" w14:textId="7A8C6F49" w:rsidR="00124536" w:rsidRPr="009E1962" w:rsidRDefault="00124536" w:rsidP="00806044">
      <w:pPr>
        <w:autoSpaceDE w:val="0"/>
        <w:autoSpaceDN w:val="0"/>
        <w:bidi w:val="0"/>
        <w:adjustRightInd w:val="0"/>
        <w:spacing w:after="0" w:line="240" w:lineRule="auto"/>
        <w:rPr>
          <w:rFonts w:ascii="David" w:hAnsi="David" w:cs="David"/>
          <w:b/>
          <w:bCs/>
          <w:sz w:val="20"/>
          <w:szCs w:val="20"/>
        </w:rPr>
      </w:pPr>
      <w:r w:rsidRPr="003C31AE">
        <w:rPr>
          <w:rStyle w:val="FootnoteReference"/>
        </w:rPr>
        <w:footnoteRef/>
      </w:r>
      <w:r w:rsidRPr="009E1962">
        <w:rPr>
          <w:rFonts w:ascii="David" w:hAnsi="David" w:cs="David"/>
          <w:sz w:val="20"/>
          <w:szCs w:val="20"/>
        </w:rPr>
        <w:t xml:space="preserve"> </w:t>
      </w:r>
      <w:r>
        <w:rPr>
          <w:rFonts w:asciiTheme="majorHAnsi" w:hAnsiTheme="majorHAnsi" w:cs="David"/>
          <w:sz w:val="20"/>
          <w:szCs w:val="20"/>
        </w:rPr>
        <w:t>S</w:t>
      </w:r>
      <w:r w:rsidRPr="009E1962">
        <w:rPr>
          <w:rFonts w:asciiTheme="majorHAnsi" w:hAnsiTheme="majorHAnsi" w:cs="David"/>
          <w:sz w:val="20"/>
          <w:szCs w:val="20"/>
        </w:rPr>
        <w:t xml:space="preserve">imilar to the assumption of indexation to past inflation in the Calvo price rigidity setting. </w:t>
      </w:r>
      <w:r>
        <w:rPr>
          <w:rFonts w:asciiTheme="majorHAnsi" w:hAnsiTheme="majorHAnsi" w:cs="David"/>
          <w:sz w:val="20"/>
          <w:szCs w:val="20"/>
        </w:rPr>
        <w:t>S</w:t>
      </w:r>
      <w:r w:rsidRPr="009E1962">
        <w:rPr>
          <w:rFonts w:asciiTheme="majorHAnsi" w:hAnsiTheme="majorHAnsi" w:cs="David"/>
          <w:sz w:val="20"/>
          <w:szCs w:val="20"/>
        </w:rPr>
        <w:t xml:space="preserve">ee for example, </w:t>
      </w:r>
      <w:r w:rsidR="00FF692E" w:rsidRPr="00806044">
        <w:rPr>
          <w:color w:val="0081AD"/>
          <w:sz w:val="20"/>
          <w:szCs w:val="20"/>
        </w:rPr>
        <w:fldChar w:fldCharType="begin"/>
      </w:r>
      <w:r w:rsidR="00857FA3">
        <w:rPr>
          <w:color w:val="0081AD"/>
          <w:sz w:val="20"/>
          <w:szCs w:val="20"/>
        </w:rPr>
        <w:instrText xml:space="preserve"> ADDIN ZOTERO_ITEM CSL_CITATION {"citationID":"VmXdzsZa","properties":{"unsorted":false,"formattedCitation":"Ireland (2007)","plainCitation":"Ireland (2007)","noteIndex":6},"citationItems":[{"id":"FigsttBU/7u460lgB","uris":["http://zotero.org/users/6680486/items/CJQCDI6L"],"itemData":{"id":19101,"type":"article-journal","abstract":"This paper estimates a New Keynesian model to draw inferences about the behavior of the Federal Reserve's unobserved inflation target. The results indicate that the target rose from 1 1/4% in 1959 to over 8% in the mid to late 1970s before falling back below 2 1/2% in 2004. The results also provide some support for the hypothesis that over the entire post-war period, Federal Reserve policy has systematically translated short-run price pressures set off by supply-side shocks into more persistent movements in inflation itself, although considerable uncertainty remains about the true source of shifts in the inflation target.","citation-key":"irelandChangesFederalReserves2007","container-title":"Journal of Money, Credit and Banking","DOI":"10.1111/j.1538-4616.2007.00091.x","ISSN":"1538-4616","issue":"8","language":"en","note":"_eprint: https://onlinelibrary.wiley.com/doi/pdf/10.1111/j.1538-4616.2007.00091.x","page":"1851-1882","source":"Wiley Online Library","title":"Changes in the Federal Reserve's Inflation Target: Causes and Consequences","title-short":"Changes in the Federal Reserve's Inflation Target","volume":"39","author":[{"family":"Ireland","given":"Peter N."}],"issued":{"date-parts":[["2007"]]}}}],"schema":"https://github.com/citation-style-language/schema/raw/master/csl-citation.json"} </w:instrText>
      </w:r>
      <w:r w:rsidR="00FF692E" w:rsidRPr="00806044">
        <w:rPr>
          <w:color w:val="0081AD"/>
          <w:sz w:val="20"/>
          <w:szCs w:val="20"/>
        </w:rPr>
        <w:fldChar w:fldCharType="separate"/>
      </w:r>
      <w:r w:rsidR="00806044" w:rsidRPr="00806044">
        <w:rPr>
          <w:rFonts w:ascii="Utopia" w:hAnsi="Utopia"/>
          <w:color w:val="0081AD"/>
          <w:sz w:val="20"/>
        </w:rPr>
        <w:t>Ireland (2007)</w:t>
      </w:r>
      <w:r w:rsidR="00FF692E" w:rsidRPr="00806044">
        <w:rPr>
          <w:color w:val="0081AD"/>
          <w:sz w:val="20"/>
          <w:szCs w:val="20"/>
        </w:rPr>
        <w:fldChar w:fldCharType="end"/>
      </w:r>
      <w:r w:rsidR="00806044">
        <w:rPr>
          <w:sz w:val="20"/>
          <w:szCs w:val="20"/>
        </w:rPr>
        <w:t xml:space="preserve"> </w:t>
      </w:r>
      <w:r w:rsidRPr="009E1962">
        <w:rPr>
          <w:sz w:val="20"/>
          <w:szCs w:val="20"/>
        </w:rPr>
        <w:t>and</w:t>
      </w:r>
      <w:r w:rsidR="00806044">
        <w:rPr>
          <w:sz w:val="20"/>
          <w:szCs w:val="20"/>
        </w:rPr>
        <w:t xml:space="preserve"> </w:t>
      </w:r>
      <w:r w:rsidR="00806044" w:rsidRPr="00806044">
        <w:rPr>
          <w:color w:val="0081AD"/>
          <w:sz w:val="20"/>
          <w:szCs w:val="20"/>
        </w:rPr>
        <w:fldChar w:fldCharType="begin"/>
      </w:r>
      <w:r w:rsidR="00806044" w:rsidRPr="00806044">
        <w:rPr>
          <w:color w:val="0081AD"/>
          <w:sz w:val="20"/>
          <w:szCs w:val="20"/>
        </w:rPr>
        <w:instrText xml:space="preserve"> ADDIN ZOTERO_ITEM CSL_CITATION {"citationID":"qPlZPCCd","properties":{"unsorted":false,"formattedCitation":"Ilek and Rozenshtrom (2018)","plainCitation":"Ilek and Rozenshtrom (2018)","noteIndex":6},"citationItems":[{"id":1619,"uris":["http://zotero.org/users/6680486/items/E62AYHQQ"],"itemData":{"id":1619,"type":"article-journal","abstract":"We study the term premium on government bonds in a small open economy within a micro-founded DSGE model with Epstein–Zin preferences. A model with technological spillovers from the global economy to the small open economy succeeds in replicating the main macroeconomic and bond-pricing moments as well as international co-movement in accordance with the data. We identify two opposing effects of the openness of the economy on the nominal term premium, which in our model roughly offset each other, so that the term premia in the open and closed economies are similar, provided that both enjoy technological spillovers from abroad.","citation-key":"ilekTermPremiumSmall2018","container-title":"International Review of Economics &amp; Finance","DOI":"10.1016/j.iref.2018.02.002","ISSN":"1059-0560","journalAbbreviation":"International Review of Economics &amp; Finance","page":"333-352","source":"ScienceDirect","title":"The term premium in a small open economy: A micro-founded approach","title-short":"The term premium in a small open economy","volume":"57","author":[{"family":"Ilek","given":"Alex"},{"family":"Rozenshtrom","given":"Irit"}],"issued":{"date-parts":[["2018",9,1]]}}}],"schema":"https://github.com/citation-style-language/schema/raw/master/csl-citation.json"} </w:instrText>
      </w:r>
      <w:r w:rsidR="00806044" w:rsidRPr="00806044">
        <w:rPr>
          <w:color w:val="0081AD"/>
          <w:sz w:val="20"/>
          <w:szCs w:val="20"/>
        </w:rPr>
        <w:fldChar w:fldCharType="separate"/>
      </w:r>
      <w:r w:rsidR="00806044" w:rsidRPr="00806044">
        <w:rPr>
          <w:rFonts w:ascii="Utopia" w:hAnsi="Utopia"/>
          <w:color w:val="0081AD"/>
          <w:sz w:val="20"/>
        </w:rPr>
        <w:t>Ilek and Rozenshtrom (2018)</w:t>
      </w:r>
      <w:r w:rsidR="00806044" w:rsidRPr="00806044">
        <w:rPr>
          <w:color w:val="0081AD"/>
          <w:sz w:val="20"/>
          <w:szCs w:val="20"/>
        </w:rPr>
        <w:fldChar w:fldCharType="end"/>
      </w:r>
      <w:r w:rsidRPr="009E1962">
        <w:rPr>
          <w:sz w:val="20"/>
          <w:szCs w:val="20"/>
        </w:rPr>
        <w:t xml:space="preserve">. </w:t>
      </w:r>
    </w:p>
  </w:footnote>
  <w:footnote w:id="8">
    <w:p w14:paraId="0B67D062" w14:textId="77777777" w:rsidR="00124536" w:rsidRDefault="00124536" w:rsidP="00D85E0E">
      <w:pPr>
        <w:pStyle w:val="FootnoteText"/>
        <w:bidi w:val="0"/>
        <w:jc w:val="both"/>
      </w:pPr>
      <w:r w:rsidRPr="003C31AE">
        <w:rPr>
          <w:rStyle w:val="FootnoteReference"/>
        </w:rPr>
        <w:footnoteRef/>
      </w:r>
      <w:r>
        <w:rPr>
          <w:rtl/>
        </w:rPr>
        <w:t xml:space="preserve"> </w:t>
      </w:r>
      <w:r w:rsidRPr="00574F1B">
        <w:rPr>
          <w:rFonts w:asciiTheme="majorHAnsi" w:hAnsiTheme="majorHAnsi" w:cs="David"/>
        </w:rPr>
        <w:t xml:space="preserve">For convenience, we use </w:t>
      </w:r>
      <m:oMath>
        <m:sSup>
          <m:sSupPr>
            <m:ctrlPr>
              <w:rPr>
                <w:rFonts w:ascii="Cambria Math" w:hAnsi="Cambria Math" w:cs="David"/>
                <w:i/>
              </w:rPr>
            </m:ctrlPr>
          </m:sSupPr>
          <m:e>
            <m:r>
              <w:rPr>
                <w:rFonts w:ascii="Cambria Math" w:hAnsi="Cambria Math" w:cs="David"/>
              </w:rPr>
              <m:t>B</m:t>
            </m:r>
          </m:e>
          <m:sup>
            <m:r>
              <w:rPr>
                <w:rFonts w:ascii="Cambria Math" w:hAnsi="Cambria Math" w:cs="David"/>
              </w:rPr>
              <m:t>'</m:t>
            </m:r>
          </m:sup>
        </m:sSup>
      </m:oMath>
      <w:r w:rsidRPr="00574F1B">
        <w:rPr>
          <w:rFonts w:asciiTheme="majorHAnsi" w:hAnsiTheme="majorHAnsi" w:cs="David"/>
        </w:rPr>
        <w:t xml:space="preserve"> to denote both the deposits of commercial banks at the central bank and the deposits of lenders at commercial banks, applying the clearing condition</w:t>
      </w:r>
      <w:r>
        <w:rPr>
          <w:rFonts w:asciiTheme="majorHAnsi" w:hAnsiTheme="majorHAnsi" w:cs="David"/>
        </w:rPr>
        <w:t xml:space="preserve"> </w:t>
      </w:r>
      <m:oMath>
        <m:sSubSup>
          <m:sSubSupPr>
            <m:ctrlPr>
              <w:rPr>
                <w:rFonts w:ascii="Cambria Math" w:hAnsi="Cambria Math" w:cs="David"/>
              </w:rPr>
            </m:ctrlPr>
          </m:sSubSupPr>
          <m:e>
            <m:r>
              <w:rPr>
                <w:rFonts w:ascii="Cambria Math" w:hAnsi="Cambria Math" w:cs="David"/>
              </w:rPr>
              <m:t>B</m:t>
            </m:r>
          </m:e>
          <m:sub>
            <m:r>
              <w:rPr>
                <w:rFonts w:ascii="Cambria Math" w:hAnsi="Cambria Math" w:cs="David"/>
              </w:rPr>
              <m:t>t</m:t>
            </m:r>
          </m:sub>
          <m:sup>
            <m:r>
              <m:rPr>
                <m:sty m:val="p"/>
              </m:rPr>
              <w:rPr>
                <w:rFonts w:ascii="Cambria Math" w:hAnsi="Cambria Math" w:cs="David"/>
              </w:rPr>
              <m:t>'</m:t>
            </m:r>
          </m:sup>
        </m:sSubSup>
        <m:r>
          <m:rPr>
            <m:sty m:val="p"/>
          </m:rPr>
          <w:rPr>
            <w:rFonts w:ascii="Cambria Math" w:hAnsi="Cambria Math" w:cs="David"/>
          </w:rPr>
          <m:t>+</m:t>
        </m:r>
        <m:sSub>
          <m:sSubPr>
            <m:ctrlPr>
              <w:rPr>
                <w:rFonts w:ascii="Cambria Math" w:hAnsi="Cambria Math" w:cs="David"/>
              </w:rPr>
            </m:ctrlPr>
          </m:sSubPr>
          <m:e>
            <m:r>
              <w:rPr>
                <w:rFonts w:ascii="Cambria Math" w:hAnsi="Cambria Math" w:cs="David"/>
              </w:rPr>
              <m:t>B</m:t>
            </m:r>
          </m:e>
          <m:sub>
            <m:r>
              <w:rPr>
                <w:rFonts w:ascii="Cambria Math" w:hAnsi="Cambria Math" w:cs="David"/>
              </w:rPr>
              <m:t>t</m:t>
            </m:r>
          </m:sub>
        </m:sSub>
        <m:r>
          <m:rPr>
            <m:sty m:val="p"/>
          </m:rPr>
          <w:rPr>
            <w:rFonts w:ascii="Cambria Math" w:hAnsi="Cambria Math" w:cs="David"/>
          </w:rPr>
          <m:t>=0.</m:t>
        </m:r>
      </m:oMath>
    </w:p>
  </w:footnote>
  <w:footnote w:id="9">
    <w:p w14:paraId="28B1FFF7" w14:textId="77777777" w:rsidR="00124536" w:rsidRPr="009C4B45" w:rsidRDefault="00124536" w:rsidP="00DE43FC">
      <w:pPr>
        <w:pStyle w:val="FootnoteText"/>
        <w:bidi w:val="0"/>
        <w:jc w:val="both"/>
        <w:rPr>
          <w:rFonts w:asciiTheme="majorHAnsi" w:hAnsiTheme="majorHAnsi"/>
          <w:rtl/>
        </w:rPr>
      </w:pPr>
      <w:r w:rsidRPr="003C31AE">
        <w:rPr>
          <w:rStyle w:val="FootnoteReference"/>
        </w:rPr>
        <w:footnoteRef/>
      </w:r>
      <w:r w:rsidRPr="0069024A">
        <w:rPr>
          <w:rtl/>
        </w:rPr>
        <w:t xml:space="preserve"> </w:t>
      </w:r>
      <w:r w:rsidRPr="0069024A">
        <w:rPr>
          <w:rFonts w:asciiTheme="majorHAnsi" w:hAnsiTheme="majorHAnsi"/>
        </w:rPr>
        <w:t xml:space="preserve">Until 2024, the general-purpose loan limit backed by a home was 50%, but during "Operation Swords of Iron," it was </w:t>
      </w:r>
      <w:r w:rsidRPr="0069024A">
        <w:rPr>
          <w:rFonts w:asciiTheme="majorHAnsi" w:hAnsiTheme="majorHAnsi" w:cs="Segoe UI"/>
        </w:rPr>
        <w:t xml:space="preserve">temporarily </w:t>
      </w:r>
      <w:r w:rsidRPr="0069024A">
        <w:rPr>
          <w:rFonts w:asciiTheme="majorHAnsi" w:hAnsiTheme="majorHAnsi"/>
        </w:rPr>
        <w:t>raised to 70% (up to 200,000 ILS). For calibration, we use the 50% value.</w:t>
      </w:r>
    </w:p>
  </w:footnote>
  <w:footnote w:id="10">
    <w:p w14:paraId="4FB581B1" w14:textId="77777777" w:rsidR="00124536" w:rsidRPr="0026125F" w:rsidRDefault="00124536" w:rsidP="0026125F">
      <w:pPr>
        <w:pStyle w:val="FootnoteText"/>
        <w:bidi w:val="0"/>
        <w:jc w:val="both"/>
        <w:rPr>
          <w:rtl/>
        </w:rPr>
      </w:pPr>
      <w:r w:rsidRPr="003C31AE">
        <w:rPr>
          <w:rStyle w:val="FootnoteReference"/>
        </w:rPr>
        <w:footnoteRef/>
      </w:r>
      <w:r>
        <w:rPr>
          <w:rFonts w:hint="cs"/>
          <w:rtl/>
        </w:rPr>
        <w:t xml:space="preserve"> </w:t>
      </w:r>
      <w:r w:rsidRPr="008E2B36">
        <w:rPr>
          <w:rFonts w:cs="Generic0-Regular"/>
        </w:rPr>
        <w:t xml:space="preserve">The calculation of the parameter </w:t>
      </w:r>
      <m:oMath>
        <m:r>
          <w:rPr>
            <w:rFonts w:ascii="Cambria Math" w:hAnsi="Cambria Math"/>
          </w:rPr>
          <m:t>Θ</m:t>
        </m:r>
      </m:oMath>
      <w:r w:rsidRPr="008E2B36">
        <w:rPr>
          <w:rFonts w:cs="Generic0-Regular"/>
        </w:rPr>
        <w:t xml:space="preserve"> is available from the authors upon request.</w:t>
      </w:r>
    </w:p>
  </w:footnote>
  <w:footnote w:id="11">
    <w:p w14:paraId="013D50C6" w14:textId="77777777" w:rsidR="00124536" w:rsidRDefault="00124536" w:rsidP="00941A9F">
      <w:pPr>
        <w:pStyle w:val="FootnoteText"/>
        <w:bidi w:val="0"/>
      </w:pPr>
      <w:r w:rsidRPr="003C31AE">
        <w:rPr>
          <w:rStyle w:val="FootnoteReference"/>
        </w:rPr>
        <w:footnoteRef/>
      </w:r>
      <w:r>
        <w:rPr>
          <w:rtl/>
        </w:rPr>
        <w:t xml:space="preserve"> </w:t>
      </w:r>
      <w:r>
        <w:t>This document is available upon request</w:t>
      </w:r>
    </w:p>
  </w:footnote>
  <w:footnote w:id="12">
    <w:p w14:paraId="28507DDE" w14:textId="2B4D2599" w:rsidR="00124536" w:rsidRDefault="00124536" w:rsidP="00113E3B">
      <w:pPr>
        <w:pStyle w:val="FootnoteText"/>
        <w:bidi w:val="0"/>
        <w:jc w:val="both"/>
      </w:pPr>
      <w:r w:rsidRPr="003C31AE">
        <w:rPr>
          <w:rStyle w:val="FootnoteReference"/>
        </w:rPr>
        <w:footnoteRef/>
      </w:r>
      <w:r>
        <w:rPr>
          <w:rtl/>
        </w:rPr>
        <w:t xml:space="preserve"> </w:t>
      </w:r>
      <w:r>
        <w:t>S</w:t>
      </w:r>
      <w:r w:rsidRPr="00426E3A">
        <w:t>imilar to the approach in</w:t>
      </w:r>
      <w:r>
        <w:t xml:space="preserve"> </w:t>
      </w:r>
      <w:r w:rsidRPr="007E0471">
        <w:rPr>
          <w:rFonts w:asciiTheme="majorHAnsi" w:hAnsiTheme="majorHAnsi" w:cs="David"/>
          <w:color w:val="0081AD"/>
        </w:rPr>
        <w:fldChar w:fldCharType="begin"/>
      </w:r>
      <w:r w:rsidRPr="007E0471">
        <w:rPr>
          <w:rFonts w:asciiTheme="majorHAnsi" w:hAnsiTheme="majorHAnsi" w:cs="David"/>
          <w:color w:val="0081AD"/>
        </w:rPr>
        <w:instrText xml:space="preserve"> ADDIN ZOTERO_ITEM CSL_CITATION {"citationID":"woxI7Q4w","properties":{"formattedCitation":"Alpanda and Zubairy (2017)","plainCitation":"Alpanda and Zubairy (2017)","noteIndex":11},"citationItems":[{"id":1669,"uris":["http://zotero.org/users/6680486/items/TMZEX3Q5"],"itemData":{"id":1669,"type":"article-journal","abstract":"In this paper, we build a dynamic stochastic general-equilibrium model with housing and household debt, and compare the eﬀectiveness of monetary policy, housing-related ﬁscal policy, and macroprudential regulations in reducing household indebtedness. Excessive household debt arises due to exuberance shocks on house price expectations, which drive a wedge between the actual and the underlying fundamental value of houses. The estimated model also features longterm ﬁxed-rate borrowing and lending across two types of households, and diﬀerentiates between the ﬂow and the stock of household debt. Our main ﬁndings can be summarized as follows: (i) Monetary tightening is able to reduce the stock of real mortgage debt, but leads to an increase in the household debt-to-income ratio. (ii) Among the policy tools we consider, tightening in mortgage interest deduction and regulatory loan-to-value (LTV) are the most eﬀective and least costly in reducing household debt, followed by increasing property taxes and monetary tightening. (iii) Although mortgage interest deduction is a broader tool than regulatory LTV, and therefore potentially more costly in terms of output loss, it is eﬀective in reducing overall mortgage debt, since its direct reach also extends to home equity loans. (iv) Lowering regulatory LTV and mortgage interest deductions from their current levels would be welfare improving, while we ﬁnd weak support for systematic leaning against household imbalances through monetary policy.","citation-key":"alpandaAddressingHouseholdIndebtedness2017","container-title":"European Economic Review","DOI":"10.1016/j.euroecorev.2016.11.004","ISSN":"00142921","journalAbbreviation":"European Economic Review","language":"en","page":"47-73","source":"DOI.org (Crossref)","title":"Addressing Household Indebtedness: Monetary, Fiscal or Macroprudential Policy?","title-short":"Addressing household indebtedness","volume":"92","author":[{"family":"Alpanda","given":"Sami"},{"family":"Zubairy","given":"Sarah"}],"issued":{"date-parts":[["2017",2]]}}}],"schema":"https://github.com/citation-style-language/schema/raw/master/csl-citation.json"} </w:instrText>
      </w:r>
      <w:r w:rsidRPr="007E0471">
        <w:rPr>
          <w:rFonts w:asciiTheme="majorHAnsi" w:hAnsiTheme="majorHAnsi" w:cs="David"/>
          <w:color w:val="0081AD"/>
        </w:rPr>
        <w:fldChar w:fldCharType="separate"/>
      </w:r>
      <w:r w:rsidRPr="007E0471">
        <w:rPr>
          <w:rFonts w:asciiTheme="majorHAnsi" w:hAnsiTheme="majorHAnsi" w:cs="David"/>
          <w:color w:val="0081AD"/>
        </w:rPr>
        <w:t>Alpanda and Zubairy (2017)</w:t>
      </w:r>
      <w:r w:rsidRPr="007E0471">
        <w:rPr>
          <w:rFonts w:asciiTheme="majorHAnsi" w:hAnsiTheme="majorHAnsi" w:cs="David"/>
          <w:color w:val="0081AD"/>
        </w:rPr>
        <w:fldChar w:fldCharType="end"/>
      </w:r>
      <w:r w:rsidRPr="007E0471">
        <w:rPr>
          <w:rFonts w:asciiTheme="majorHAnsi" w:hAnsiTheme="majorHAnsi" w:cs="David"/>
          <w:color w:val="0081AD"/>
        </w:rPr>
        <w:t xml:space="preserve"> </w:t>
      </w:r>
      <w:r w:rsidR="00113E3B">
        <w:t>f</w:t>
      </w:r>
      <w:r>
        <w:t>ootnote 34, and</w:t>
      </w:r>
      <w:r w:rsidRPr="004E1F4B">
        <w:rPr>
          <w:rFonts w:asciiTheme="majorHAnsi" w:hAnsiTheme="majorHAnsi" w:cs="David"/>
          <w:color w:val="0081AD"/>
        </w:rPr>
        <w:t xml:space="preserve"> </w:t>
      </w:r>
      <w:r w:rsidRPr="004E1F4B">
        <w:rPr>
          <w:rFonts w:asciiTheme="majorHAnsi" w:hAnsiTheme="majorHAnsi" w:cs="David"/>
          <w:color w:val="0081AD"/>
        </w:rPr>
        <w:fldChar w:fldCharType="begin"/>
      </w:r>
      <w:r>
        <w:rPr>
          <w:rFonts w:asciiTheme="majorHAnsi" w:hAnsiTheme="majorHAnsi" w:cs="David"/>
          <w:color w:val="0081AD"/>
        </w:rPr>
        <w:instrText xml:space="preserve"> ADDIN ZOTERO_ITEM CSL_CITATION {"citationID":"iDuiH31h","properties":{"formattedCitation":"Funke et al. (2018)","plainCitation":"Funke et al. (2018)","noteIndex":11},"citationItems":[{"id":2603,"uris":["http://zotero.org/users/6680486/items/TCMVMC87"],"itemData":{"id":2603,"type":"article-journal","abstract":"We analyse macroprudential and monetary policies and their interactions using an estimated dynamic stochastic general equilibrium (DSGE) model tailored to New Zealand. Our estimates show that monetary policy has large spillover e</w:instrText>
      </w:r>
      <w:r w:rsidRPr="007E0471">
        <w:rPr>
          <w:rFonts w:asciiTheme="majorHAnsi" w:hAnsiTheme="majorHAnsi" w:cs="David"/>
          <w:color w:val="0081AD"/>
        </w:rPr>
        <w:instrText>ﬀ</w:instrText>
      </w:r>
      <w:r>
        <w:rPr>
          <w:rFonts w:asciiTheme="majorHAnsi" w:hAnsiTheme="majorHAnsi" w:cs="David"/>
          <w:color w:val="0081AD"/>
        </w:rPr>
        <w:instrText>ects on house prices, however it has not been a major driver of house prices in New Zealand which have instead been driven by sector-speci</w:instrText>
      </w:r>
      <w:r w:rsidRPr="007E0471">
        <w:rPr>
          <w:rFonts w:asciiTheme="majorHAnsi" w:hAnsiTheme="majorHAnsi" w:cs="David"/>
          <w:color w:val="0081AD"/>
        </w:rPr>
        <w:instrText>ﬁ</w:instrText>
      </w:r>
      <w:r>
        <w:rPr>
          <w:rFonts w:asciiTheme="majorHAnsi" w:hAnsiTheme="majorHAnsi" w:cs="David"/>
          <w:color w:val="0081AD"/>
        </w:rPr>
        <w:instrText xml:space="preserve">c shocks. We consider macroprudential policies, including the loan-to-value restrictions that have been implemented in New Zealand. We </w:instrText>
      </w:r>
      <w:r w:rsidRPr="007E0471">
        <w:rPr>
          <w:rFonts w:asciiTheme="majorHAnsi" w:hAnsiTheme="majorHAnsi" w:cs="David"/>
          <w:color w:val="0081AD"/>
        </w:rPr>
        <w:instrText>ﬁ</w:instrText>
      </w:r>
      <w:r>
        <w:rPr>
          <w:rFonts w:asciiTheme="majorHAnsi" w:hAnsiTheme="majorHAnsi" w:cs="David"/>
          <w:color w:val="0081AD"/>
        </w:rPr>
        <w:instrText>nd that loan-to-value restrictions reduce house prices with negligible e</w:instrText>
      </w:r>
      <w:r w:rsidRPr="007E0471">
        <w:rPr>
          <w:rFonts w:asciiTheme="majorHAnsi" w:hAnsiTheme="majorHAnsi" w:cs="David"/>
          <w:color w:val="0081AD"/>
        </w:rPr>
        <w:instrText>ﬀ</w:instrText>
      </w:r>
      <w:r>
        <w:rPr>
          <w:rFonts w:asciiTheme="majorHAnsi" w:hAnsiTheme="majorHAnsi" w:cs="David"/>
          <w:color w:val="0081AD"/>
        </w:rPr>
        <w:instrText>ects on consumer prices, suggesting they can be used without derailing monetary policy. E</w:instrText>
      </w:r>
      <w:r w:rsidRPr="007E0471">
        <w:rPr>
          <w:rFonts w:asciiTheme="majorHAnsi" w:hAnsiTheme="majorHAnsi" w:cs="David"/>
          <w:color w:val="0081AD"/>
        </w:rPr>
        <w:instrText>ﬃ</w:instrText>
      </w:r>
      <w:r>
        <w:rPr>
          <w:rFonts w:asciiTheme="majorHAnsi" w:hAnsiTheme="majorHAnsi" w:cs="David"/>
          <w:color w:val="0081AD"/>
        </w:rPr>
        <w:instrText>cient policy frontier analysis suggests macroprudential policy is a useful addition to monetary policy, and the two do not need to be coordinated. We estimate that the loan-to-value restrictions imposed in New Zealand in 2013 reduced house prices by 3.8% and that greater forward guidance on their duration would have made them more e</w:instrText>
      </w:r>
      <w:r w:rsidRPr="007E0471">
        <w:rPr>
          <w:rFonts w:asciiTheme="majorHAnsi" w:hAnsiTheme="majorHAnsi" w:cs="David"/>
          <w:color w:val="0081AD"/>
        </w:rPr>
        <w:instrText>ﬀ</w:instrText>
      </w:r>
      <w:r>
        <w:rPr>
          <w:rFonts w:asciiTheme="majorHAnsi" w:hAnsiTheme="majorHAnsi" w:cs="David"/>
          <w:color w:val="0081AD"/>
        </w:rPr>
        <w:instrText xml:space="preserve">ective.","citation-key":"funkeHousePricesMacroprudential2018","container-title":"Journal of Macroeconomics","DOI":"10.1016/j.jmacro.2018.01.006","ISSN":"01640704","journalAbbreviation":"Journal of Macroeconomics","language":"en","page":"152-171","source":"DOI.org (Crossref)","title":"House prices and macroprudential policy in an estimated DSGE model of New Zealand","volume":"56","author":[{"family":"Funke","given":"Michael"},{"family":"Kirkby","given":"Robert"},{"family":"Mihaylovski","given":"Petar"}],"issued":{"date-parts":[["2018",6]]}}}],"schema":"https://github.com/citation-style-language/schema/raw/master/csl-citation.json"} </w:instrText>
      </w:r>
      <w:r w:rsidRPr="004E1F4B">
        <w:rPr>
          <w:rFonts w:asciiTheme="majorHAnsi" w:hAnsiTheme="majorHAnsi" w:cs="David"/>
          <w:color w:val="0081AD"/>
        </w:rPr>
        <w:fldChar w:fldCharType="separate"/>
      </w:r>
      <w:r w:rsidRPr="007E0471">
        <w:rPr>
          <w:rFonts w:asciiTheme="majorHAnsi" w:hAnsiTheme="majorHAnsi" w:cs="David"/>
          <w:color w:val="0081AD"/>
        </w:rPr>
        <w:t>Funke et al. (2018)</w:t>
      </w:r>
      <w:r w:rsidRPr="004E1F4B">
        <w:rPr>
          <w:rFonts w:asciiTheme="majorHAnsi" w:hAnsiTheme="majorHAnsi" w:cs="David"/>
          <w:color w:val="0081AD"/>
        </w:rPr>
        <w:fldChar w:fldCharType="end"/>
      </w:r>
      <w:r w:rsidRPr="00426E3A">
        <w:t>.</w:t>
      </w:r>
    </w:p>
  </w:footnote>
  <w:footnote w:id="13">
    <w:p w14:paraId="32F9817F" w14:textId="4E1BE015" w:rsidR="00124536" w:rsidRPr="000D4C07" w:rsidRDefault="00124536" w:rsidP="00C30B46">
      <w:pPr>
        <w:pStyle w:val="BodyText"/>
        <w:spacing w:before="0" w:after="0" w:line="240" w:lineRule="auto"/>
        <w:rPr>
          <w:sz w:val="20"/>
          <w:szCs w:val="20"/>
        </w:rPr>
      </w:pPr>
      <w:r w:rsidRPr="003C31AE">
        <w:rPr>
          <w:rStyle w:val="FootnoteReference"/>
        </w:rPr>
        <w:footnoteRef/>
      </w:r>
      <w:r w:rsidRPr="001C3B1C">
        <w:rPr>
          <w:rFonts w:asciiTheme="majorHAnsi" w:hAnsiTheme="majorHAnsi" w:cs="Segoe UI"/>
          <w:sz w:val="20"/>
          <w:szCs w:val="20"/>
        </w:rPr>
        <w:t xml:space="preserve"> </w:t>
      </w:r>
      <w:r w:rsidRPr="000D4C07">
        <w:rPr>
          <w:sz w:val="20"/>
          <w:szCs w:val="20"/>
        </w:rPr>
        <w:t xml:space="preserve">When scaling all results to a 10 percentage point permanent reduction in the LTV ratio cap, the estimated immediate decrease in home prices is approximately </w:t>
      </w:r>
      <w:r>
        <w:rPr>
          <w:sz w:val="20"/>
          <w:szCs w:val="20"/>
        </w:rPr>
        <w:t>20</w:t>
      </w:r>
      <w:r w:rsidRPr="000D4C07">
        <w:rPr>
          <w:sz w:val="20"/>
          <w:szCs w:val="20"/>
        </w:rPr>
        <w:t xml:space="preserve">% </w:t>
      </w:r>
      <w:r w:rsidRPr="00C30B46">
        <w:rPr>
          <w:sz w:val="20"/>
          <w:szCs w:val="20"/>
        </w:rPr>
        <w:t>in</w:t>
      </w:r>
      <w:r w:rsidR="00C30B46" w:rsidRPr="00C30B46">
        <w:rPr>
          <w:sz w:val="20"/>
          <w:szCs w:val="20"/>
        </w:rPr>
        <w:t xml:space="preserve"> </w:t>
      </w:r>
      <w:r w:rsidR="00C30B46" w:rsidRPr="00C30B46">
        <w:rPr>
          <w:rFonts w:asciiTheme="majorHAnsi" w:hAnsiTheme="majorHAnsi" w:cs="David"/>
          <w:color w:val="0081AD"/>
          <w:sz w:val="20"/>
          <w:szCs w:val="20"/>
        </w:rPr>
        <w:fldChar w:fldCharType="begin"/>
      </w:r>
      <w:r w:rsidR="00C30B46">
        <w:rPr>
          <w:rFonts w:asciiTheme="majorHAnsi" w:hAnsiTheme="majorHAnsi" w:cs="David"/>
          <w:color w:val="0081AD"/>
          <w:sz w:val="20"/>
          <w:szCs w:val="20"/>
        </w:rPr>
        <w:instrText xml:space="preserve"> ADDIN ZOTERO_ITEM CSL_CITATION {"citationID":"bKxyVQ2X","properties":{"formattedCitation":"Funke et al. (2018)","plainCitation":"Funke et al. (2018)","noteIndex":12},"citationItems":[{"id":2603,"uris":["http://zotero.org/users/6680486/items/TCMVMC87"],"itemData":{"id":2603,"type":"article-journal","abstract":"We analyse macroprudential and monetary policies and their interactions using an estimated dynamic stochastic general equilibrium (DSGE) model tailored to New Zealand. Our estimates show that monetary policy has large spillover e</w:instrText>
      </w:r>
      <w:r w:rsidR="00C30B46">
        <w:rPr>
          <w:rFonts w:ascii="Arial" w:hAnsi="Arial" w:cs="Arial"/>
          <w:color w:val="0081AD"/>
          <w:sz w:val="20"/>
          <w:szCs w:val="20"/>
        </w:rPr>
        <w:instrText>ﬀ</w:instrText>
      </w:r>
      <w:r w:rsidR="00C30B46">
        <w:rPr>
          <w:rFonts w:asciiTheme="majorHAnsi" w:hAnsiTheme="majorHAnsi" w:cs="David"/>
          <w:color w:val="0081AD"/>
          <w:sz w:val="20"/>
          <w:szCs w:val="20"/>
        </w:rPr>
        <w:instrText>ects on house prices, however it has not been a major driver of house prices in New Zealand which have instead been driven by sector-speci</w:instrText>
      </w:r>
      <w:r w:rsidR="00C30B46">
        <w:rPr>
          <w:rFonts w:ascii="Utopia" w:hAnsi="Utopia" w:cs="Utopia"/>
          <w:color w:val="0081AD"/>
          <w:sz w:val="20"/>
          <w:szCs w:val="20"/>
        </w:rPr>
        <w:instrText>ﬁ</w:instrText>
      </w:r>
      <w:r w:rsidR="00C30B46">
        <w:rPr>
          <w:rFonts w:asciiTheme="majorHAnsi" w:hAnsiTheme="majorHAnsi" w:cs="David"/>
          <w:color w:val="0081AD"/>
          <w:sz w:val="20"/>
          <w:szCs w:val="20"/>
        </w:rPr>
        <w:instrText xml:space="preserve">c shocks. We consider macroprudential policies, including the loan-to-value restrictions that have been implemented in New Zealand. We </w:instrText>
      </w:r>
      <w:r w:rsidR="00C30B46">
        <w:rPr>
          <w:rFonts w:ascii="Utopia" w:hAnsi="Utopia" w:cs="Utopia"/>
          <w:color w:val="0081AD"/>
          <w:sz w:val="20"/>
          <w:szCs w:val="20"/>
        </w:rPr>
        <w:instrText>ﬁ</w:instrText>
      </w:r>
      <w:r w:rsidR="00C30B46">
        <w:rPr>
          <w:rFonts w:asciiTheme="majorHAnsi" w:hAnsiTheme="majorHAnsi" w:cs="David"/>
          <w:color w:val="0081AD"/>
          <w:sz w:val="20"/>
          <w:szCs w:val="20"/>
        </w:rPr>
        <w:instrText>nd that loan-to-value restrictions reduce house prices with negligible e</w:instrText>
      </w:r>
      <w:r w:rsidR="00C30B46">
        <w:rPr>
          <w:rFonts w:ascii="Arial" w:hAnsi="Arial" w:cs="Arial"/>
          <w:color w:val="0081AD"/>
          <w:sz w:val="20"/>
          <w:szCs w:val="20"/>
        </w:rPr>
        <w:instrText>ﬀ</w:instrText>
      </w:r>
      <w:r w:rsidR="00C30B46">
        <w:rPr>
          <w:rFonts w:asciiTheme="majorHAnsi" w:hAnsiTheme="majorHAnsi" w:cs="David"/>
          <w:color w:val="0081AD"/>
          <w:sz w:val="20"/>
          <w:szCs w:val="20"/>
        </w:rPr>
        <w:instrText>ects on consumer prices, suggesting they can be used without derailing monetary policy. E</w:instrText>
      </w:r>
      <w:r w:rsidR="00C30B46">
        <w:rPr>
          <w:rFonts w:ascii="Arial" w:hAnsi="Arial" w:cs="Arial"/>
          <w:color w:val="0081AD"/>
          <w:sz w:val="20"/>
          <w:szCs w:val="20"/>
        </w:rPr>
        <w:instrText>ﬃ</w:instrText>
      </w:r>
      <w:r w:rsidR="00C30B46">
        <w:rPr>
          <w:rFonts w:asciiTheme="majorHAnsi" w:hAnsiTheme="majorHAnsi" w:cs="David"/>
          <w:color w:val="0081AD"/>
          <w:sz w:val="20"/>
          <w:szCs w:val="20"/>
        </w:rPr>
        <w:instrText>cient policy frontier analysis suggests macroprudential policy is a useful addition to monetary policy, and the two do not need to be coordinated. We estimate that the loan-to-value restrictions imposed in New Zealand in 2013 reduced house prices by 3.8% and that greater forward guidance on their duration would have made them more e</w:instrText>
      </w:r>
      <w:r w:rsidR="00C30B46">
        <w:rPr>
          <w:rFonts w:ascii="Arial" w:hAnsi="Arial" w:cs="Arial"/>
          <w:color w:val="0081AD"/>
          <w:sz w:val="20"/>
          <w:szCs w:val="20"/>
        </w:rPr>
        <w:instrText>ﬀ</w:instrText>
      </w:r>
      <w:r w:rsidR="00C30B46">
        <w:rPr>
          <w:rFonts w:asciiTheme="majorHAnsi" w:hAnsiTheme="majorHAnsi" w:cs="David"/>
          <w:color w:val="0081AD"/>
          <w:sz w:val="20"/>
          <w:szCs w:val="20"/>
        </w:rPr>
        <w:instrText xml:space="preserve">ective.","citation-key":"funkeHousePricesMacroprudential2018","container-title":"Journal of Macroeconomics","DOI":"10.1016/j.jmacro.2018.01.006","ISSN":"01640704","journalAbbreviation":"Journal of Macroeconomics","language":"en","page":"152-171","source":"DOI.org (Crossref)","title":"House prices and macroprudential policy in an estimated DSGE model of New Zealand","volume":"56","author":[{"family":"Funke","given":"Michael"},{"family":"Kirkby","given":"Robert"},{"family":"Mihaylovski","given":"Petar"}],"issued":{"date-parts":[["2018",6]]}}}],"schema":"https://github.com/citation-style-language/schema/raw/master/csl-citation.json"} </w:instrText>
      </w:r>
      <w:r w:rsidR="00C30B46" w:rsidRPr="00C30B46">
        <w:rPr>
          <w:rFonts w:asciiTheme="majorHAnsi" w:hAnsiTheme="majorHAnsi" w:cs="David"/>
          <w:color w:val="0081AD"/>
          <w:sz w:val="20"/>
          <w:szCs w:val="20"/>
        </w:rPr>
        <w:fldChar w:fldCharType="separate"/>
      </w:r>
      <w:r w:rsidR="00C30B46" w:rsidRPr="00C30B46">
        <w:rPr>
          <w:rFonts w:asciiTheme="majorHAnsi" w:hAnsiTheme="majorHAnsi" w:cs="David"/>
          <w:color w:val="0081AD"/>
          <w:sz w:val="20"/>
          <w:szCs w:val="20"/>
        </w:rPr>
        <w:t>Funke et al. (2018)</w:t>
      </w:r>
      <w:r w:rsidR="00C30B46" w:rsidRPr="00C30B46">
        <w:rPr>
          <w:rFonts w:asciiTheme="majorHAnsi" w:hAnsiTheme="majorHAnsi" w:cs="David"/>
          <w:color w:val="0081AD"/>
          <w:sz w:val="20"/>
          <w:szCs w:val="20"/>
        </w:rPr>
        <w:fldChar w:fldCharType="end"/>
      </w:r>
      <w:r w:rsidRPr="00C30B46">
        <w:rPr>
          <w:sz w:val="20"/>
          <w:szCs w:val="20"/>
        </w:rPr>
        <w:t>, 1</w:t>
      </w:r>
      <w:r w:rsidRPr="000D4C07">
        <w:rPr>
          <w:sz w:val="20"/>
          <w:szCs w:val="20"/>
        </w:rPr>
        <w:t>.2% in</w:t>
      </w:r>
      <w:r w:rsidR="00C30B46">
        <w:rPr>
          <w:rFonts w:asciiTheme="majorHAnsi" w:hAnsiTheme="majorHAnsi" w:cs="David"/>
          <w:color w:val="0081AD"/>
          <w:sz w:val="20"/>
          <w:szCs w:val="20"/>
          <w:lang w:bidi="he-IL"/>
        </w:rPr>
        <w:t xml:space="preserve"> </w:t>
      </w:r>
      <w:r w:rsidR="00C30B46" w:rsidRPr="00C30B46">
        <w:rPr>
          <w:rFonts w:asciiTheme="majorHAnsi" w:hAnsiTheme="majorHAnsi" w:cs="David"/>
          <w:color w:val="0081AD"/>
          <w:sz w:val="20"/>
          <w:szCs w:val="20"/>
          <w:lang w:bidi="he-IL"/>
        </w:rPr>
        <w:fldChar w:fldCharType="begin"/>
      </w:r>
      <w:r w:rsidR="00C30B46" w:rsidRPr="00C30B46">
        <w:rPr>
          <w:rFonts w:asciiTheme="majorHAnsi" w:hAnsiTheme="majorHAnsi" w:cs="David"/>
          <w:color w:val="0081AD"/>
          <w:sz w:val="20"/>
          <w:szCs w:val="20"/>
          <w:lang w:bidi="he-IL"/>
        </w:rPr>
        <w:instrText xml:space="preserve"> ADDIN ZOTERO_ITEM CSL_CITATION {"citationID":"G7cVTWkz","properties":{"unsorted":false,"formattedCitation":"Bruneau et al. (2018)","plainCitation":"Bruneau et al. (2018)","noteIndex":12},"citationItems":[{"id":2625,"uris":["http://zotero.org/users/6680486/items/S9SIS5BS"],"itemData":{"id":2625,"type":"article-journal","abstract":"In this paper, we analyze the implications of macroprudential and monetary policies for credit cycles, housing market stability and spillovers to consumption. We consider a countercyclical loan-to-value (LTV) policy that responds to a credit-to-income ratio, and we compare its e</w:instrText>
      </w:r>
      <w:r w:rsidR="00C30B46" w:rsidRPr="00C30B46">
        <w:rPr>
          <w:rFonts w:ascii="Arial" w:hAnsi="Arial" w:cs="Arial"/>
          <w:color w:val="0081AD"/>
          <w:sz w:val="20"/>
          <w:szCs w:val="20"/>
          <w:lang w:bidi="he-IL"/>
        </w:rPr>
        <w:instrText>ﬀ</w:instrText>
      </w:r>
      <w:r w:rsidR="00C30B46" w:rsidRPr="00C30B46">
        <w:rPr>
          <w:rFonts w:asciiTheme="majorHAnsi" w:hAnsiTheme="majorHAnsi" w:cs="David"/>
          <w:color w:val="0081AD"/>
          <w:sz w:val="20"/>
          <w:szCs w:val="20"/>
          <w:lang w:bidi="he-IL"/>
        </w:rPr>
        <w:instrText xml:space="preserve">ectiveness with a permanent tightening of the LTV ratio and a monetary policy rule that responds to credit. To this end, we construct a dynamic stochastic general equilibrium model with housing market, household debt and collateral constraints, and we estimate it with Canadian data using Bayesian methods. Our study suggests that a countercyclical LTV ratio is a useful policy to reduce spillovers from the housing market into consumption and to lean against housing market boom–bust cycles. It performs better than the permanent tightening of the LTV ratio—a policy that has been used in a number of countries—and the monetary policy rule, both in terms of the stabilization of household indebtedness and spillovers into consumption. Monetary policy that leans against the wind is the least desirable due to its large adverse consequences on the real economy.","citation-key":"bruneauHousingMarketDynamics2018","container-title":"Canadian Journal of Economics","DOI":"10.1111/caje.12346","ISSN":"0008-4085, 1540-5982","issue":"3","journalAbbreviation":"Canadian J of Economics","language":"en","page":"864-900","source":"DOI.org (Crossref)","title":"Housing market dynamics and macroprudential policies","volume":"51","author":[{"family":"Bruneau","given":"Gabriel"},{"family":"Christensen","given":"Ian"},{"family":"Meh","given":"Césaire"}],"issued":{"date-parts":[["2018",8]]}}}],"schema":"https://github.com/citation-style-language/schema/raw/master/csl-citation.json"} </w:instrText>
      </w:r>
      <w:r w:rsidR="00C30B46" w:rsidRPr="00C30B46">
        <w:rPr>
          <w:rFonts w:asciiTheme="majorHAnsi" w:hAnsiTheme="majorHAnsi" w:cs="David"/>
          <w:color w:val="0081AD"/>
          <w:sz w:val="20"/>
          <w:szCs w:val="20"/>
          <w:lang w:bidi="he-IL"/>
        </w:rPr>
        <w:fldChar w:fldCharType="separate"/>
      </w:r>
      <w:r w:rsidR="00C30B46" w:rsidRPr="00C30B46">
        <w:rPr>
          <w:rFonts w:ascii="Utopia" w:hAnsi="Utopia"/>
          <w:color w:val="0081AD"/>
          <w:sz w:val="20"/>
        </w:rPr>
        <w:t>Bruneau et al. (2018)</w:t>
      </w:r>
      <w:r w:rsidR="00C30B46" w:rsidRPr="00C30B46">
        <w:rPr>
          <w:rFonts w:asciiTheme="majorHAnsi" w:hAnsiTheme="majorHAnsi" w:cs="David"/>
          <w:color w:val="0081AD"/>
          <w:sz w:val="20"/>
          <w:szCs w:val="20"/>
          <w:lang w:bidi="he-IL"/>
        </w:rPr>
        <w:fldChar w:fldCharType="end"/>
      </w:r>
      <w:r w:rsidRPr="000D4C07">
        <w:rPr>
          <w:sz w:val="20"/>
          <w:szCs w:val="20"/>
        </w:rPr>
        <w:t>, and 0.5% in</w:t>
      </w:r>
      <w:r w:rsidR="00C30B46">
        <w:rPr>
          <w:sz w:val="20"/>
          <w:szCs w:val="20"/>
        </w:rPr>
        <w:t xml:space="preserve"> </w:t>
      </w:r>
      <w:r w:rsidR="00C30B46" w:rsidRPr="00C30B46">
        <w:rPr>
          <w:rFonts w:asciiTheme="majorHAnsi" w:hAnsiTheme="majorHAnsi" w:cs="David"/>
          <w:color w:val="0081AD"/>
          <w:sz w:val="20"/>
          <w:szCs w:val="20"/>
          <w:lang w:bidi="he-IL"/>
        </w:rPr>
        <w:fldChar w:fldCharType="begin"/>
      </w:r>
      <w:r w:rsidR="00C30B46" w:rsidRPr="00C30B46">
        <w:rPr>
          <w:rFonts w:asciiTheme="majorHAnsi" w:hAnsiTheme="majorHAnsi" w:cs="David"/>
          <w:color w:val="0081AD"/>
          <w:sz w:val="20"/>
          <w:szCs w:val="20"/>
          <w:lang w:bidi="he-IL"/>
        </w:rPr>
        <w:instrText xml:space="preserve"> ADDIN ZOTERO_ITEM CSL_CITATION {"citationID":"KggKH1yl","properties":{"unsorted":false,"formattedCitation":"Lee and Song (2015)","plainCitation":"Lee and Song (2015)","noteIndex":12},"citationItems":[{"id":2229,"uris":["http://zotero.org/users/6680486/items/F5J9C5A6"],"itemData":{"id":2229,"type":"article-journal","abstract":"The Korean housing market showed booms in the early 2000s and sharp ﬂuctuations after the U.S. ﬁnancial crisis. The recent increase in volatility in the housing market has motivated greater attention to the relationship between the housing market and the Korean economy. This paper develops a dynamic stochastic general equilibrium (DSGE) model with the housing construction sector and analyzes the role of housing in the Korean business cycles. The results indicate that the model incorporating the collateral role of houses in conjunction with predetermined pricing in the housing construction sector provides a reasonably good ﬁt to the data. In addition, the paper conducts policy simulations of a changing loan-to-value (LTV) ratio ceiling and ﬁnds its significant effects on ﬁnancially constrained households' consumption.","citation-key":"leeHousingBusinessCycles2015","container-title":"Economic Modelling","DOI":"10.1016/j.econmod.2014.11.009","ISSN":"02649993","journalAbbreviation":"Economic Modelling","language":"en","page":"99-108","source":"DOI.org (Crossref)","title":"Housing and business cycles in Korea: A multi-sector Bayesian DSGE approach","title-short":"Housing and business cycles in Korea","volume":"45","author":[{"family":"Lee","given":"Junhee"},{"family":"Song","given":"Joonhyuk"}],"issued":{"date-parts":[["2015",2]]}}}],"schema":"https://github.com/citation-style-language/schema/raw/master/csl-citation.json"} </w:instrText>
      </w:r>
      <w:r w:rsidR="00C30B46" w:rsidRPr="00C30B46">
        <w:rPr>
          <w:rFonts w:asciiTheme="majorHAnsi" w:hAnsiTheme="majorHAnsi" w:cs="David"/>
          <w:color w:val="0081AD"/>
          <w:sz w:val="20"/>
          <w:szCs w:val="20"/>
          <w:lang w:bidi="he-IL"/>
        </w:rPr>
        <w:fldChar w:fldCharType="separate"/>
      </w:r>
      <w:r w:rsidR="00C30B46" w:rsidRPr="00C30B46">
        <w:rPr>
          <w:rFonts w:ascii="Utopia" w:hAnsi="Utopia"/>
          <w:color w:val="0081AD"/>
          <w:sz w:val="20"/>
        </w:rPr>
        <w:t>Lee and Song (2015)</w:t>
      </w:r>
      <w:r w:rsidR="00C30B46" w:rsidRPr="00C30B46">
        <w:rPr>
          <w:rFonts w:asciiTheme="majorHAnsi" w:hAnsiTheme="majorHAnsi" w:cs="David"/>
          <w:color w:val="0081AD"/>
          <w:sz w:val="20"/>
          <w:szCs w:val="20"/>
          <w:lang w:bidi="he-IL"/>
        </w:rPr>
        <w:fldChar w:fldCharType="end"/>
      </w:r>
      <w:r w:rsidR="00C30B46">
        <w:rPr>
          <w:sz w:val="20"/>
          <w:szCs w:val="20"/>
        </w:rPr>
        <w:t>.</w:t>
      </w:r>
    </w:p>
  </w:footnote>
  <w:footnote w:id="14">
    <w:p w14:paraId="28E9ADEE" w14:textId="77777777" w:rsidR="00124536" w:rsidRDefault="00124536" w:rsidP="00EC1687">
      <w:pPr>
        <w:pStyle w:val="FootnoteText"/>
        <w:bidi w:val="0"/>
        <w:jc w:val="both"/>
      </w:pPr>
      <w:r w:rsidRPr="003C31AE">
        <w:rPr>
          <w:rStyle w:val="FootnoteReference"/>
        </w:rPr>
        <w:footnoteRef/>
      </w:r>
      <w:r>
        <w:rPr>
          <w:rtl/>
        </w:rPr>
        <w:t xml:space="preserve"> </w:t>
      </w:r>
      <w:r w:rsidRPr="007054E7">
        <w:rPr>
          <w:rFonts w:asciiTheme="majorHAnsi" w:hAnsiTheme="majorHAnsi"/>
        </w:rPr>
        <w:t xml:space="preserve">We obtained </w:t>
      </w:r>
      <m:oMath>
        <m:r>
          <w:rPr>
            <w:rFonts w:ascii="Cambria Math" w:hAnsi="Cambria Math"/>
          </w:rPr>
          <m:t>γ=0.671</m:t>
        </m:r>
      </m:oMath>
      <w:r w:rsidRPr="007054E7">
        <w:rPr>
          <w:rFonts w:asciiTheme="majorHAnsi" w:hAnsiTheme="majorHAnsi"/>
        </w:rPr>
        <w:t xml:space="preserve"> and </w:t>
      </w:r>
      <m:oMath>
        <m:sSup>
          <m:sSupPr>
            <m:ctrlPr>
              <w:rPr>
                <w:rFonts w:ascii="Cambria Math" w:hAnsi="Cambria Math"/>
                <w:i/>
                <w:iCs/>
              </w:rPr>
            </m:ctrlPr>
          </m:sSupPr>
          <m:e>
            <m:r>
              <w:rPr>
                <w:rFonts w:ascii="Cambria Math" w:hAnsi="Cambria Math"/>
              </w:rPr>
              <m:t>γ</m:t>
            </m:r>
          </m:e>
          <m:sup>
            <m:r>
              <w:rPr>
                <w:rFonts w:ascii="Cambria Math" w:hAnsi="Cambria Math"/>
              </w:rPr>
              <m:t>'</m:t>
            </m:r>
          </m:sup>
        </m:sSup>
      </m:oMath>
      <w:r w:rsidRPr="007054E7">
        <w:rPr>
          <w:rFonts w:asciiTheme="majorHAnsi" w:eastAsiaTheme="minorEastAsia" w:hAnsiTheme="majorHAnsi"/>
          <w:iCs/>
        </w:rPr>
        <w:t>=0.6</w:t>
      </w:r>
      <w:r>
        <w:rPr>
          <w:rFonts w:asciiTheme="majorHAnsi" w:eastAsiaTheme="minorEastAsia" w:hAnsiTheme="majorHAnsi"/>
          <w:iCs/>
        </w:rPr>
        <w:t>94</w:t>
      </w:r>
      <w:r w:rsidRPr="007054E7">
        <w:rPr>
          <w:rFonts w:asciiTheme="majorHAnsi" w:eastAsiaTheme="minorEastAsia" w:hAnsiTheme="majorHAnsi"/>
          <w:iCs/>
        </w:rPr>
        <w:t xml:space="preserve"> to match </w:t>
      </w:r>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0</m:t>
                </m:r>
              </m:sub>
            </m:sSub>
          </m:num>
          <m:den>
            <m:sSub>
              <m:sSubPr>
                <m:ctrlPr>
                  <w:rPr>
                    <w:rFonts w:ascii="Cambria Math" w:hAnsi="Cambria Math"/>
                    <w:i/>
                  </w:rPr>
                </m:ctrlPr>
              </m:sSubPr>
              <m:e>
                <m:r>
                  <w:rPr>
                    <w:rFonts w:ascii="Cambria Math" w:hAnsi="Cambria Math"/>
                  </w:rPr>
                  <m:t>h</m:t>
                </m:r>
              </m:e>
              <m:sub>
                <m:r>
                  <w:rPr>
                    <w:rFonts w:ascii="Cambria Math" w:hAnsi="Cambria Math"/>
                  </w:rPr>
                  <m:t>r</m:t>
                </m:r>
              </m:sub>
            </m:sSub>
          </m:den>
        </m:f>
        <m:r>
          <w:rPr>
            <w:rFonts w:ascii="Cambria Math" w:hAnsi="Cambria Math"/>
          </w:rPr>
          <m:t>=6</m:t>
        </m:r>
      </m:oMath>
      <w:r w:rsidRPr="007054E7">
        <w:rPr>
          <w:rFonts w:asciiTheme="majorHAnsi" w:hAnsiTheme="majorHAnsi"/>
        </w:rPr>
        <w:t xml:space="preserve"> and  </w:t>
      </w:r>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0</m:t>
                </m:r>
              </m:sub>
            </m:sSub>
          </m:num>
          <m:den>
            <m:sSub>
              <m:sSubPr>
                <m:ctrlPr>
                  <w:rPr>
                    <w:rFonts w:ascii="Cambria Math" w:hAnsi="Cambria Math"/>
                    <w:i/>
                  </w:rPr>
                </m:ctrlPr>
              </m:sSubPr>
              <m:e>
                <m:r>
                  <w:rPr>
                    <w:rFonts w:ascii="Cambria Math" w:hAnsi="Cambria Math"/>
                  </w:rPr>
                  <m:t>h'</m:t>
                </m:r>
              </m:e>
              <m:sub>
                <m:r>
                  <w:rPr>
                    <w:rFonts w:ascii="Cambria Math" w:hAnsi="Cambria Math"/>
                  </w:rPr>
                  <m:t>r</m:t>
                </m:r>
              </m:sub>
            </m:sSub>
          </m:den>
        </m:f>
        <m:r>
          <w:rPr>
            <w:rFonts w:ascii="Cambria Math" w:hAnsi="Cambria Math"/>
          </w:rPr>
          <m:t>=1.6</m:t>
        </m:r>
      </m:oMath>
      <w:r w:rsidRPr="007054E7">
        <w:rPr>
          <w:rFonts w:asciiTheme="majorHAnsi" w:eastAsiaTheme="minorEastAsia" w:hAnsiTheme="majorHAnsi"/>
        </w:rPr>
        <w:t>, respectively</w:t>
      </w:r>
      <w:r>
        <w:rPr>
          <w:rFonts w:asciiTheme="majorHAnsi" w:eastAsiaTheme="minorEastAsia" w:hAnsiTheme="majorHAnsi"/>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CEA4E40"/>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6158C4A8"/>
    <w:lvl w:ilvl="0">
      <w:start w:val="1"/>
      <w:numFmt w:val="decimal"/>
      <w:pStyle w:val="ListNumber2"/>
      <w:lvlText w:val="%1."/>
      <w:lvlJc w:val="left"/>
      <w:pPr>
        <w:tabs>
          <w:tab w:val="num" w:pos="643"/>
        </w:tabs>
        <w:ind w:left="643" w:hanging="360"/>
      </w:pPr>
    </w:lvl>
  </w:abstractNum>
  <w:abstractNum w:abstractNumId="2" w15:restartNumberingAfterBreak="0">
    <w:nsid w:val="FFFFFF82"/>
    <w:multiLevelType w:val="singleLevel"/>
    <w:tmpl w:val="56D6D162"/>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45A68850"/>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7DFEE9F4"/>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0E8D5A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981415C"/>
    <w:multiLevelType w:val="multilevel"/>
    <w:tmpl w:val="581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522B3"/>
    <w:multiLevelType w:val="multilevel"/>
    <w:tmpl w:val="C65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433B5"/>
    <w:multiLevelType w:val="multilevel"/>
    <w:tmpl w:val="BFB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169B2"/>
    <w:multiLevelType w:val="multilevel"/>
    <w:tmpl w:val="5F44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67161"/>
    <w:multiLevelType w:val="multilevel"/>
    <w:tmpl w:val="CC28C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705E1"/>
    <w:multiLevelType w:val="multilevel"/>
    <w:tmpl w:val="CAD27ECE"/>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3444724"/>
    <w:multiLevelType w:val="multilevel"/>
    <w:tmpl w:val="E468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22564"/>
    <w:multiLevelType w:val="multilevel"/>
    <w:tmpl w:val="4E7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326BA"/>
    <w:multiLevelType w:val="multilevel"/>
    <w:tmpl w:val="E924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515DD"/>
    <w:multiLevelType w:val="hybridMultilevel"/>
    <w:tmpl w:val="7ABE2A70"/>
    <w:lvl w:ilvl="0" w:tplc="726AEFEA">
      <w:start w:val="1"/>
      <w:numFmt w:val="decimal"/>
      <w:lvlText w:val="%1"/>
      <w:lvlJc w:val="left"/>
      <w:pPr>
        <w:ind w:left="303" w:hanging="360"/>
      </w:pPr>
      <w:rPr>
        <w:rFonts w:ascii="Times New Roman" w:hAnsi="Times New Roman" w:hint="default"/>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16" w15:restartNumberingAfterBreak="0">
    <w:nsid w:val="71970476"/>
    <w:multiLevelType w:val="hybridMultilevel"/>
    <w:tmpl w:val="8F96E830"/>
    <w:lvl w:ilvl="0" w:tplc="35402310">
      <w:start w:val="1"/>
      <w:numFmt w:val="decimal"/>
      <w:lvlText w:val="%1."/>
      <w:lvlJc w:val="left"/>
      <w:pPr>
        <w:ind w:left="360" w:hanging="360"/>
      </w:pPr>
      <w:rPr>
        <w:rFonts w:hint="default"/>
      </w:rPr>
    </w:lvl>
    <w:lvl w:ilvl="1" w:tplc="8FA899DA">
      <w:start w:val="1"/>
      <w:numFmt w:val="lowerLetter"/>
      <w:lvlText w:val="%2."/>
      <w:lvlJc w:val="left"/>
      <w:pPr>
        <w:ind w:left="1080" w:hanging="360"/>
      </w:pPr>
    </w:lvl>
    <w:lvl w:ilvl="2" w:tplc="DDEC44BC" w:tentative="1">
      <w:start w:val="1"/>
      <w:numFmt w:val="lowerRoman"/>
      <w:lvlText w:val="%3."/>
      <w:lvlJc w:val="right"/>
      <w:pPr>
        <w:ind w:left="1800" w:hanging="180"/>
      </w:pPr>
    </w:lvl>
    <w:lvl w:ilvl="3" w:tplc="2D50CC4A" w:tentative="1">
      <w:start w:val="1"/>
      <w:numFmt w:val="decimal"/>
      <w:lvlText w:val="%4."/>
      <w:lvlJc w:val="left"/>
      <w:pPr>
        <w:ind w:left="2520" w:hanging="360"/>
      </w:pPr>
    </w:lvl>
    <w:lvl w:ilvl="4" w:tplc="BB86B93C" w:tentative="1">
      <w:start w:val="1"/>
      <w:numFmt w:val="lowerLetter"/>
      <w:lvlText w:val="%5."/>
      <w:lvlJc w:val="left"/>
      <w:pPr>
        <w:ind w:left="3240" w:hanging="360"/>
      </w:pPr>
    </w:lvl>
    <w:lvl w:ilvl="5" w:tplc="E408B63C" w:tentative="1">
      <w:start w:val="1"/>
      <w:numFmt w:val="lowerRoman"/>
      <w:lvlText w:val="%6."/>
      <w:lvlJc w:val="right"/>
      <w:pPr>
        <w:ind w:left="3960" w:hanging="180"/>
      </w:pPr>
    </w:lvl>
    <w:lvl w:ilvl="6" w:tplc="AFC256DC" w:tentative="1">
      <w:start w:val="1"/>
      <w:numFmt w:val="decimal"/>
      <w:lvlText w:val="%7."/>
      <w:lvlJc w:val="left"/>
      <w:pPr>
        <w:ind w:left="4680" w:hanging="360"/>
      </w:pPr>
    </w:lvl>
    <w:lvl w:ilvl="7" w:tplc="CA84CBEA" w:tentative="1">
      <w:start w:val="1"/>
      <w:numFmt w:val="lowerLetter"/>
      <w:lvlText w:val="%8."/>
      <w:lvlJc w:val="left"/>
      <w:pPr>
        <w:ind w:left="5400" w:hanging="360"/>
      </w:pPr>
    </w:lvl>
    <w:lvl w:ilvl="8" w:tplc="7AF453A8" w:tentative="1">
      <w:start w:val="1"/>
      <w:numFmt w:val="lowerRoman"/>
      <w:lvlText w:val="%9."/>
      <w:lvlJc w:val="right"/>
      <w:pPr>
        <w:ind w:left="6120" w:hanging="180"/>
      </w:pPr>
    </w:lvl>
  </w:abstractNum>
  <w:abstractNum w:abstractNumId="17" w15:restartNumberingAfterBreak="0">
    <w:nsid w:val="765D1AB5"/>
    <w:multiLevelType w:val="multilevel"/>
    <w:tmpl w:val="751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55935"/>
    <w:multiLevelType w:val="multilevel"/>
    <w:tmpl w:val="3FA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061374">
    <w:abstractNumId w:val="5"/>
  </w:num>
  <w:num w:numId="2" w16cid:durableId="2035576071">
    <w:abstractNumId w:val="3"/>
  </w:num>
  <w:num w:numId="3" w16cid:durableId="487865129">
    <w:abstractNumId w:val="2"/>
  </w:num>
  <w:num w:numId="4" w16cid:durableId="239827389">
    <w:abstractNumId w:val="4"/>
  </w:num>
  <w:num w:numId="5" w16cid:durableId="1111122239">
    <w:abstractNumId w:val="1"/>
  </w:num>
  <w:num w:numId="6" w16cid:durableId="1585993849">
    <w:abstractNumId w:val="0"/>
  </w:num>
  <w:num w:numId="7" w16cid:durableId="709495608">
    <w:abstractNumId w:val="11"/>
  </w:num>
  <w:num w:numId="8" w16cid:durableId="252131564">
    <w:abstractNumId w:val="16"/>
  </w:num>
  <w:num w:numId="9" w16cid:durableId="750660146">
    <w:abstractNumId w:val="18"/>
  </w:num>
  <w:num w:numId="10" w16cid:durableId="791826139">
    <w:abstractNumId w:val="13"/>
  </w:num>
  <w:num w:numId="11" w16cid:durableId="1924532848">
    <w:abstractNumId w:val="6"/>
  </w:num>
  <w:num w:numId="12" w16cid:durableId="1510440706">
    <w:abstractNumId w:val="9"/>
  </w:num>
  <w:num w:numId="13" w16cid:durableId="1214735863">
    <w:abstractNumId w:val="10"/>
  </w:num>
  <w:num w:numId="14" w16cid:durableId="1186754714">
    <w:abstractNumId w:val="12"/>
  </w:num>
  <w:num w:numId="15" w16cid:durableId="1269653240">
    <w:abstractNumId w:val="14"/>
  </w:num>
  <w:num w:numId="16" w16cid:durableId="873422682">
    <w:abstractNumId w:val="7"/>
  </w:num>
  <w:num w:numId="17" w16cid:durableId="555968723">
    <w:abstractNumId w:val="17"/>
  </w:num>
  <w:num w:numId="18" w16cid:durableId="1161778847">
    <w:abstractNumId w:val="8"/>
  </w:num>
  <w:num w:numId="19" w16cid:durableId="1876262454">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A5E"/>
    <w:rsid w:val="00000206"/>
    <w:rsid w:val="00000284"/>
    <w:rsid w:val="000003F5"/>
    <w:rsid w:val="000004FE"/>
    <w:rsid w:val="0000080C"/>
    <w:rsid w:val="00000994"/>
    <w:rsid w:val="00000AE3"/>
    <w:rsid w:val="00000F1E"/>
    <w:rsid w:val="00001062"/>
    <w:rsid w:val="00001556"/>
    <w:rsid w:val="00001CDD"/>
    <w:rsid w:val="00001CE0"/>
    <w:rsid w:val="00001D7D"/>
    <w:rsid w:val="0000200C"/>
    <w:rsid w:val="00002BF4"/>
    <w:rsid w:val="00002E80"/>
    <w:rsid w:val="00003807"/>
    <w:rsid w:val="00003D51"/>
    <w:rsid w:val="00003F5D"/>
    <w:rsid w:val="0000412E"/>
    <w:rsid w:val="00004979"/>
    <w:rsid w:val="00004BF4"/>
    <w:rsid w:val="00005848"/>
    <w:rsid w:val="000058EA"/>
    <w:rsid w:val="0000598C"/>
    <w:rsid w:val="00006338"/>
    <w:rsid w:val="000063D6"/>
    <w:rsid w:val="00006927"/>
    <w:rsid w:val="0000723C"/>
    <w:rsid w:val="000075A4"/>
    <w:rsid w:val="000076F3"/>
    <w:rsid w:val="00007A0F"/>
    <w:rsid w:val="00007B05"/>
    <w:rsid w:val="000101A3"/>
    <w:rsid w:val="000103AC"/>
    <w:rsid w:val="0001077B"/>
    <w:rsid w:val="00010789"/>
    <w:rsid w:val="000109E7"/>
    <w:rsid w:val="00010A9E"/>
    <w:rsid w:val="000112AF"/>
    <w:rsid w:val="000112C3"/>
    <w:rsid w:val="000114CC"/>
    <w:rsid w:val="00011646"/>
    <w:rsid w:val="000120FF"/>
    <w:rsid w:val="000123CD"/>
    <w:rsid w:val="0001242A"/>
    <w:rsid w:val="000124DB"/>
    <w:rsid w:val="0001261F"/>
    <w:rsid w:val="00012971"/>
    <w:rsid w:val="00012A21"/>
    <w:rsid w:val="000131D4"/>
    <w:rsid w:val="000139D1"/>
    <w:rsid w:val="00013B19"/>
    <w:rsid w:val="00013F10"/>
    <w:rsid w:val="00015394"/>
    <w:rsid w:val="00015D35"/>
    <w:rsid w:val="00016219"/>
    <w:rsid w:val="0001687C"/>
    <w:rsid w:val="000169FA"/>
    <w:rsid w:val="00016DE1"/>
    <w:rsid w:val="00017001"/>
    <w:rsid w:val="0001742D"/>
    <w:rsid w:val="00017C03"/>
    <w:rsid w:val="00020D42"/>
    <w:rsid w:val="00021071"/>
    <w:rsid w:val="00021096"/>
    <w:rsid w:val="00021124"/>
    <w:rsid w:val="0002179D"/>
    <w:rsid w:val="00021906"/>
    <w:rsid w:val="00021B30"/>
    <w:rsid w:val="00021C13"/>
    <w:rsid w:val="00021F0C"/>
    <w:rsid w:val="00022156"/>
    <w:rsid w:val="000225F6"/>
    <w:rsid w:val="000228F6"/>
    <w:rsid w:val="00023280"/>
    <w:rsid w:val="00023A8A"/>
    <w:rsid w:val="00023BDE"/>
    <w:rsid w:val="00023F8E"/>
    <w:rsid w:val="000240D5"/>
    <w:rsid w:val="000242CB"/>
    <w:rsid w:val="000249CA"/>
    <w:rsid w:val="00024C8B"/>
    <w:rsid w:val="00024DDA"/>
    <w:rsid w:val="000250DB"/>
    <w:rsid w:val="000258A4"/>
    <w:rsid w:val="000260F8"/>
    <w:rsid w:val="00026106"/>
    <w:rsid w:val="0002637E"/>
    <w:rsid w:val="000264BC"/>
    <w:rsid w:val="0002660B"/>
    <w:rsid w:val="00026A64"/>
    <w:rsid w:val="00026A88"/>
    <w:rsid w:val="000277F5"/>
    <w:rsid w:val="00027940"/>
    <w:rsid w:val="00027D19"/>
    <w:rsid w:val="0003003E"/>
    <w:rsid w:val="000303B7"/>
    <w:rsid w:val="00030A95"/>
    <w:rsid w:val="00030D46"/>
    <w:rsid w:val="00030F8D"/>
    <w:rsid w:val="00031573"/>
    <w:rsid w:val="00032992"/>
    <w:rsid w:val="000334D8"/>
    <w:rsid w:val="0003377A"/>
    <w:rsid w:val="000340AD"/>
    <w:rsid w:val="00034C29"/>
    <w:rsid w:val="00034F52"/>
    <w:rsid w:val="000350CB"/>
    <w:rsid w:val="0003521A"/>
    <w:rsid w:val="00035401"/>
    <w:rsid w:val="00035B81"/>
    <w:rsid w:val="00035CCD"/>
    <w:rsid w:val="000368E8"/>
    <w:rsid w:val="00036B57"/>
    <w:rsid w:val="00036E90"/>
    <w:rsid w:val="0003705F"/>
    <w:rsid w:val="00037765"/>
    <w:rsid w:val="000377E0"/>
    <w:rsid w:val="000379CB"/>
    <w:rsid w:val="000379D2"/>
    <w:rsid w:val="00037CF9"/>
    <w:rsid w:val="00040195"/>
    <w:rsid w:val="000401A7"/>
    <w:rsid w:val="000401F9"/>
    <w:rsid w:val="00040455"/>
    <w:rsid w:val="000405F7"/>
    <w:rsid w:val="000407F6"/>
    <w:rsid w:val="00040C75"/>
    <w:rsid w:val="00040C9F"/>
    <w:rsid w:val="00041029"/>
    <w:rsid w:val="0004111E"/>
    <w:rsid w:val="000411B2"/>
    <w:rsid w:val="00041263"/>
    <w:rsid w:val="0004141A"/>
    <w:rsid w:val="00041606"/>
    <w:rsid w:val="0004160F"/>
    <w:rsid w:val="00041A35"/>
    <w:rsid w:val="00041E33"/>
    <w:rsid w:val="00041EA9"/>
    <w:rsid w:val="0004228E"/>
    <w:rsid w:val="00042A22"/>
    <w:rsid w:val="00042B5C"/>
    <w:rsid w:val="000430FF"/>
    <w:rsid w:val="000431F1"/>
    <w:rsid w:val="0004328A"/>
    <w:rsid w:val="000438E4"/>
    <w:rsid w:val="00043B08"/>
    <w:rsid w:val="000441F4"/>
    <w:rsid w:val="00044500"/>
    <w:rsid w:val="000445CC"/>
    <w:rsid w:val="00044678"/>
    <w:rsid w:val="00044992"/>
    <w:rsid w:val="00044AC4"/>
    <w:rsid w:val="00044E97"/>
    <w:rsid w:val="00045AF0"/>
    <w:rsid w:val="00045CE3"/>
    <w:rsid w:val="00045EC5"/>
    <w:rsid w:val="00046755"/>
    <w:rsid w:val="000469EA"/>
    <w:rsid w:val="00047F90"/>
    <w:rsid w:val="0005004E"/>
    <w:rsid w:val="00050C57"/>
    <w:rsid w:val="00051335"/>
    <w:rsid w:val="000513B5"/>
    <w:rsid w:val="00051B25"/>
    <w:rsid w:val="00052185"/>
    <w:rsid w:val="00052210"/>
    <w:rsid w:val="00052258"/>
    <w:rsid w:val="000523C9"/>
    <w:rsid w:val="00052DEC"/>
    <w:rsid w:val="00053027"/>
    <w:rsid w:val="000530CA"/>
    <w:rsid w:val="000531C9"/>
    <w:rsid w:val="00053205"/>
    <w:rsid w:val="000532B8"/>
    <w:rsid w:val="000534E8"/>
    <w:rsid w:val="0005351D"/>
    <w:rsid w:val="0005361F"/>
    <w:rsid w:val="00053CDC"/>
    <w:rsid w:val="00053E55"/>
    <w:rsid w:val="0005404A"/>
    <w:rsid w:val="00054159"/>
    <w:rsid w:val="00054317"/>
    <w:rsid w:val="000543DB"/>
    <w:rsid w:val="00054561"/>
    <w:rsid w:val="00055339"/>
    <w:rsid w:val="000556FC"/>
    <w:rsid w:val="000557D5"/>
    <w:rsid w:val="00055807"/>
    <w:rsid w:val="00055D5C"/>
    <w:rsid w:val="0005688D"/>
    <w:rsid w:val="00056A5E"/>
    <w:rsid w:val="00057073"/>
    <w:rsid w:val="000570AF"/>
    <w:rsid w:val="00057650"/>
    <w:rsid w:val="00057991"/>
    <w:rsid w:val="00060124"/>
    <w:rsid w:val="00060500"/>
    <w:rsid w:val="00060B8B"/>
    <w:rsid w:val="00060DA5"/>
    <w:rsid w:val="00061030"/>
    <w:rsid w:val="00061787"/>
    <w:rsid w:val="000617A5"/>
    <w:rsid w:val="00061BB9"/>
    <w:rsid w:val="000624B5"/>
    <w:rsid w:val="00062AD2"/>
    <w:rsid w:val="00062E4C"/>
    <w:rsid w:val="00062F17"/>
    <w:rsid w:val="00063514"/>
    <w:rsid w:val="000637CC"/>
    <w:rsid w:val="00063E1C"/>
    <w:rsid w:val="00063FBA"/>
    <w:rsid w:val="0006407C"/>
    <w:rsid w:val="000645C6"/>
    <w:rsid w:val="000651CF"/>
    <w:rsid w:val="000653B0"/>
    <w:rsid w:val="0006583B"/>
    <w:rsid w:val="00065BCB"/>
    <w:rsid w:val="000663D1"/>
    <w:rsid w:val="00066B35"/>
    <w:rsid w:val="00066C36"/>
    <w:rsid w:val="000673C4"/>
    <w:rsid w:val="0006772A"/>
    <w:rsid w:val="00067805"/>
    <w:rsid w:val="000679CA"/>
    <w:rsid w:val="00067CA2"/>
    <w:rsid w:val="00070021"/>
    <w:rsid w:val="0007024F"/>
    <w:rsid w:val="0007044A"/>
    <w:rsid w:val="000707EF"/>
    <w:rsid w:val="00070D69"/>
    <w:rsid w:val="00070F6A"/>
    <w:rsid w:val="00070FE2"/>
    <w:rsid w:val="00071304"/>
    <w:rsid w:val="00071313"/>
    <w:rsid w:val="00071699"/>
    <w:rsid w:val="0007205E"/>
    <w:rsid w:val="00072F43"/>
    <w:rsid w:val="0007357A"/>
    <w:rsid w:val="000735DD"/>
    <w:rsid w:val="0007393B"/>
    <w:rsid w:val="00074024"/>
    <w:rsid w:val="0007475C"/>
    <w:rsid w:val="00074A63"/>
    <w:rsid w:val="000752C7"/>
    <w:rsid w:val="00075824"/>
    <w:rsid w:val="00075964"/>
    <w:rsid w:val="00075A63"/>
    <w:rsid w:val="00075D3D"/>
    <w:rsid w:val="00076110"/>
    <w:rsid w:val="00076C9C"/>
    <w:rsid w:val="00076D61"/>
    <w:rsid w:val="00077865"/>
    <w:rsid w:val="00077B97"/>
    <w:rsid w:val="000806B4"/>
    <w:rsid w:val="00080ABA"/>
    <w:rsid w:val="00080EF3"/>
    <w:rsid w:val="000813E9"/>
    <w:rsid w:val="000814CF"/>
    <w:rsid w:val="00082173"/>
    <w:rsid w:val="000822A7"/>
    <w:rsid w:val="00082428"/>
    <w:rsid w:val="000824DA"/>
    <w:rsid w:val="000824E6"/>
    <w:rsid w:val="00082E56"/>
    <w:rsid w:val="00082F1A"/>
    <w:rsid w:val="00082F56"/>
    <w:rsid w:val="000830EE"/>
    <w:rsid w:val="00084247"/>
    <w:rsid w:val="0008428A"/>
    <w:rsid w:val="000842DD"/>
    <w:rsid w:val="0008449C"/>
    <w:rsid w:val="000845A9"/>
    <w:rsid w:val="00084F29"/>
    <w:rsid w:val="0008555D"/>
    <w:rsid w:val="0008572C"/>
    <w:rsid w:val="00085C61"/>
    <w:rsid w:val="00085F78"/>
    <w:rsid w:val="00086ABA"/>
    <w:rsid w:val="00086D4F"/>
    <w:rsid w:val="000871BF"/>
    <w:rsid w:val="00087A81"/>
    <w:rsid w:val="00087E67"/>
    <w:rsid w:val="00090187"/>
    <w:rsid w:val="00090608"/>
    <w:rsid w:val="000906BC"/>
    <w:rsid w:val="00090818"/>
    <w:rsid w:val="00090D1D"/>
    <w:rsid w:val="00090DD4"/>
    <w:rsid w:val="00091096"/>
    <w:rsid w:val="000925FF"/>
    <w:rsid w:val="00092755"/>
    <w:rsid w:val="00092A60"/>
    <w:rsid w:val="00092C77"/>
    <w:rsid w:val="0009329F"/>
    <w:rsid w:val="00093A51"/>
    <w:rsid w:val="00094220"/>
    <w:rsid w:val="0009469D"/>
    <w:rsid w:val="000948C1"/>
    <w:rsid w:val="00094C27"/>
    <w:rsid w:val="00094FF4"/>
    <w:rsid w:val="000952F1"/>
    <w:rsid w:val="00095346"/>
    <w:rsid w:val="0009563F"/>
    <w:rsid w:val="00095BA6"/>
    <w:rsid w:val="00095D23"/>
    <w:rsid w:val="00095E86"/>
    <w:rsid w:val="00095F29"/>
    <w:rsid w:val="000960E2"/>
    <w:rsid w:val="0009693E"/>
    <w:rsid w:val="00096AA6"/>
    <w:rsid w:val="00096C3E"/>
    <w:rsid w:val="00097300"/>
    <w:rsid w:val="000974DC"/>
    <w:rsid w:val="00097F19"/>
    <w:rsid w:val="000A03CC"/>
    <w:rsid w:val="000A0764"/>
    <w:rsid w:val="000A07D7"/>
    <w:rsid w:val="000A09DD"/>
    <w:rsid w:val="000A0D30"/>
    <w:rsid w:val="000A1223"/>
    <w:rsid w:val="000A1490"/>
    <w:rsid w:val="000A161D"/>
    <w:rsid w:val="000A1C5D"/>
    <w:rsid w:val="000A1DAD"/>
    <w:rsid w:val="000A1FA6"/>
    <w:rsid w:val="000A1FEC"/>
    <w:rsid w:val="000A223C"/>
    <w:rsid w:val="000A26D7"/>
    <w:rsid w:val="000A38E0"/>
    <w:rsid w:val="000A3B1E"/>
    <w:rsid w:val="000A3B8C"/>
    <w:rsid w:val="000A47C4"/>
    <w:rsid w:val="000A4C95"/>
    <w:rsid w:val="000A5146"/>
    <w:rsid w:val="000A54B3"/>
    <w:rsid w:val="000A5662"/>
    <w:rsid w:val="000A5776"/>
    <w:rsid w:val="000A5F13"/>
    <w:rsid w:val="000A6373"/>
    <w:rsid w:val="000A67B2"/>
    <w:rsid w:val="000A6D85"/>
    <w:rsid w:val="000A70B4"/>
    <w:rsid w:val="000A71A3"/>
    <w:rsid w:val="000A7460"/>
    <w:rsid w:val="000B013D"/>
    <w:rsid w:val="000B020E"/>
    <w:rsid w:val="000B0853"/>
    <w:rsid w:val="000B12FC"/>
    <w:rsid w:val="000B1902"/>
    <w:rsid w:val="000B2106"/>
    <w:rsid w:val="000B21A3"/>
    <w:rsid w:val="000B276A"/>
    <w:rsid w:val="000B29D3"/>
    <w:rsid w:val="000B2DEE"/>
    <w:rsid w:val="000B2F3E"/>
    <w:rsid w:val="000B31B9"/>
    <w:rsid w:val="000B4028"/>
    <w:rsid w:val="000B43EF"/>
    <w:rsid w:val="000B44A3"/>
    <w:rsid w:val="000B44E7"/>
    <w:rsid w:val="000B4570"/>
    <w:rsid w:val="000B4663"/>
    <w:rsid w:val="000B4680"/>
    <w:rsid w:val="000B4784"/>
    <w:rsid w:val="000B4E37"/>
    <w:rsid w:val="000B4ECF"/>
    <w:rsid w:val="000B53F2"/>
    <w:rsid w:val="000B59A4"/>
    <w:rsid w:val="000B5A72"/>
    <w:rsid w:val="000B5A94"/>
    <w:rsid w:val="000B5AF3"/>
    <w:rsid w:val="000B661B"/>
    <w:rsid w:val="000B667D"/>
    <w:rsid w:val="000B6CC0"/>
    <w:rsid w:val="000B72A8"/>
    <w:rsid w:val="000B7AED"/>
    <w:rsid w:val="000C08CF"/>
    <w:rsid w:val="000C08E0"/>
    <w:rsid w:val="000C0A2C"/>
    <w:rsid w:val="000C0CB7"/>
    <w:rsid w:val="000C1003"/>
    <w:rsid w:val="000C13BA"/>
    <w:rsid w:val="000C15E8"/>
    <w:rsid w:val="000C20E5"/>
    <w:rsid w:val="000C227B"/>
    <w:rsid w:val="000C229F"/>
    <w:rsid w:val="000C2859"/>
    <w:rsid w:val="000C31BC"/>
    <w:rsid w:val="000C3260"/>
    <w:rsid w:val="000C36C3"/>
    <w:rsid w:val="000C3C8A"/>
    <w:rsid w:val="000C4383"/>
    <w:rsid w:val="000C49F7"/>
    <w:rsid w:val="000C4BD9"/>
    <w:rsid w:val="000C4DB4"/>
    <w:rsid w:val="000C50C1"/>
    <w:rsid w:val="000C5682"/>
    <w:rsid w:val="000C572C"/>
    <w:rsid w:val="000C5A4B"/>
    <w:rsid w:val="000C5C1B"/>
    <w:rsid w:val="000C6265"/>
    <w:rsid w:val="000C6430"/>
    <w:rsid w:val="000C6843"/>
    <w:rsid w:val="000C6C9F"/>
    <w:rsid w:val="000C74DF"/>
    <w:rsid w:val="000C762B"/>
    <w:rsid w:val="000C7814"/>
    <w:rsid w:val="000C79D2"/>
    <w:rsid w:val="000C7B3B"/>
    <w:rsid w:val="000C7D8C"/>
    <w:rsid w:val="000C7E7F"/>
    <w:rsid w:val="000D04A4"/>
    <w:rsid w:val="000D0588"/>
    <w:rsid w:val="000D05DD"/>
    <w:rsid w:val="000D0770"/>
    <w:rsid w:val="000D09A3"/>
    <w:rsid w:val="000D17D1"/>
    <w:rsid w:val="000D198F"/>
    <w:rsid w:val="000D1C3A"/>
    <w:rsid w:val="000D1C84"/>
    <w:rsid w:val="000D1CD2"/>
    <w:rsid w:val="000D220E"/>
    <w:rsid w:val="000D2AFD"/>
    <w:rsid w:val="000D2F8E"/>
    <w:rsid w:val="000D3152"/>
    <w:rsid w:val="000D31C5"/>
    <w:rsid w:val="000D3629"/>
    <w:rsid w:val="000D3835"/>
    <w:rsid w:val="000D3A94"/>
    <w:rsid w:val="000D3E41"/>
    <w:rsid w:val="000D41AB"/>
    <w:rsid w:val="000D43DF"/>
    <w:rsid w:val="000D4C07"/>
    <w:rsid w:val="000D4D50"/>
    <w:rsid w:val="000D50EA"/>
    <w:rsid w:val="000D56AA"/>
    <w:rsid w:val="000D583F"/>
    <w:rsid w:val="000D5969"/>
    <w:rsid w:val="000D5B66"/>
    <w:rsid w:val="000D5DE1"/>
    <w:rsid w:val="000D5E09"/>
    <w:rsid w:val="000D631C"/>
    <w:rsid w:val="000D6354"/>
    <w:rsid w:val="000D6854"/>
    <w:rsid w:val="000D6E60"/>
    <w:rsid w:val="000D6EDA"/>
    <w:rsid w:val="000D75CC"/>
    <w:rsid w:val="000D79D5"/>
    <w:rsid w:val="000D7A36"/>
    <w:rsid w:val="000D7A82"/>
    <w:rsid w:val="000D7F9A"/>
    <w:rsid w:val="000E0004"/>
    <w:rsid w:val="000E0077"/>
    <w:rsid w:val="000E0243"/>
    <w:rsid w:val="000E0B76"/>
    <w:rsid w:val="000E0EF1"/>
    <w:rsid w:val="000E116E"/>
    <w:rsid w:val="000E140A"/>
    <w:rsid w:val="000E1F9D"/>
    <w:rsid w:val="000E2002"/>
    <w:rsid w:val="000E2218"/>
    <w:rsid w:val="000E23B8"/>
    <w:rsid w:val="000E24BC"/>
    <w:rsid w:val="000E2732"/>
    <w:rsid w:val="000E27F2"/>
    <w:rsid w:val="000E2AE5"/>
    <w:rsid w:val="000E2D78"/>
    <w:rsid w:val="000E2E36"/>
    <w:rsid w:val="000E2FE6"/>
    <w:rsid w:val="000E336F"/>
    <w:rsid w:val="000E34AA"/>
    <w:rsid w:val="000E3A6C"/>
    <w:rsid w:val="000E3B8F"/>
    <w:rsid w:val="000E41AB"/>
    <w:rsid w:val="000E4413"/>
    <w:rsid w:val="000E4509"/>
    <w:rsid w:val="000E4AE5"/>
    <w:rsid w:val="000E4B5A"/>
    <w:rsid w:val="000E4FA0"/>
    <w:rsid w:val="000E5E5E"/>
    <w:rsid w:val="000E5E6E"/>
    <w:rsid w:val="000E641B"/>
    <w:rsid w:val="000E6D39"/>
    <w:rsid w:val="000E7517"/>
    <w:rsid w:val="000E7B33"/>
    <w:rsid w:val="000E7BCB"/>
    <w:rsid w:val="000E7DF7"/>
    <w:rsid w:val="000F05D1"/>
    <w:rsid w:val="000F05D2"/>
    <w:rsid w:val="000F0770"/>
    <w:rsid w:val="000F0C06"/>
    <w:rsid w:val="000F118B"/>
    <w:rsid w:val="000F1312"/>
    <w:rsid w:val="000F2219"/>
    <w:rsid w:val="000F24DC"/>
    <w:rsid w:val="000F2AA3"/>
    <w:rsid w:val="000F2BCB"/>
    <w:rsid w:val="000F2BF7"/>
    <w:rsid w:val="000F2D48"/>
    <w:rsid w:val="000F303B"/>
    <w:rsid w:val="000F3040"/>
    <w:rsid w:val="000F3237"/>
    <w:rsid w:val="000F36CE"/>
    <w:rsid w:val="000F38A4"/>
    <w:rsid w:val="000F3932"/>
    <w:rsid w:val="000F3D55"/>
    <w:rsid w:val="000F3E29"/>
    <w:rsid w:val="000F3FDA"/>
    <w:rsid w:val="000F428D"/>
    <w:rsid w:val="000F4910"/>
    <w:rsid w:val="000F49F6"/>
    <w:rsid w:val="000F4A0C"/>
    <w:rsid w:val="000F4D1A"/>
    <w:rsid w:val="000F5076"/>
    <w:rsid w:val="000F590A"/>
    <w:rsid w:val="000F5AC5"/>
    <w:rsid w:val="000F5B9A"/>
    <w:rsid w:val="000F606F"/>
    <w:rsid w:val="000F6238"/>
    <w:rsid w:val="000F7D2E"/>
    <w:rsid w:val="000F7FCF"/>
    <w:rsid w:val="001000FF"/>
    <w:rsid w:val="001001B9"/>
    <w:rsid w:val="0010035D"/>
    <w:rsid w:val="00101064"/>
    <w:rsid w:val="00101138"/>
    <w:rsid w:val="00101180"/>
    <w:rsid w:val="001012B7"/>
    <w:rsid w:val="00101DF0"/>
    <w:rsid w:val="00101F9F"/>
    <w:rsid w:val="00102C7E"/>
    <w:rsid w:val="00103468"/>
    <w:rsid w:val="001037B8"/>
    <w:rsid w:val="001038BA"/>
    <w:rsid w:val="00103B93"/>
    <w:rsid w:val="0010418B"/>
    <w:rsid w:val="001044F2"/>
    <w:rsid w:val="0010452C"/>
    <w:rsid w:val="0010452E"/>
    <w:rsid w:val="001046A7"/>
    <w:rsid w:val="001048C0"/>
    <w:rsid w:val="00104BE2"/>
    <w:rsid w:val="00104DB1"/>
    <w:rsid w:val="00105079"/>
    <w:rsid w:val="001052CE"/>
    <w:rsid w:val="0010561D"/>
    <w:rsid w:val="001058A7"/>
    <w:rsid w:val="001058C4"/>
    <w:rsid w:val="00105961"/>
    <w:rsid w:val="00105B17"/>
    <w:rsid w:val="001060DB"/>
    <w:rsid w:val="00106529"/>
    <w:rsid w:val="001069EF"/>
    <w:rsid w:val="00107373"/>
    <w:rsid w:val="001075BC"/>
    <w:rsid w:val="0011036F"/>
    <w:rsid w:val="00110B8D"/>
    <w:rsid w:val="00110BFB"/>
    <w:rsid w:val="0011162F"/>
    <w:rsid w:val="0011180C"/>
    <w:rsid w:val="00111BF9"/>
    <w:rsid w:val="001121E7"/>
    <w:rsid w:val="0011223F"/>
    <w:rsid w:val="00112F65"/>
    <w:rsid w:val="00113237"/>
    <w:rsid w:val="001132CC"/>
    <w:rsid w:val="00113439"/>
    <w:rsid w:val="00113789"/>
    <w:rsid w:val="00113976"/>
    <w:rsid w:val="00113C20"/>
    <w:rsid w:val="00113D7D"/>
    <w:rsid w:val="00113E3B"/>
    <w:rsid w:val="001144FE"/>
    <w:rsid w:val="001147B7"/>
    <w:rsid w:val="00114D87"/>
    <w:rsid w:val="001152C4"/>
    <w:rsid w:val="001154F5"/>
    <w:rsid w:val="00115989"/>
    <w:rsid w:val="00115A68"/>
    <w:rsid w:val="001160F8"/>
    <w:rsid w:val="001161FA"/>
    <w:rsid w:val="0011626F"/>
    <w:rsid w:val="0011644B"/>
    <w:rsid w:val="001174F7"/>
    <w:rsid w:val="001176C4"/>
    <w:rsid w:val="0011789D"/>
    <w:rsid w:val="00117976"/>
    <w:rsid w:val="00117A54"/>
    <w:rsid w:val="00120152"/>
    <w:rsid w:val="0012052D"/>
    <w:rsid w:val="0012063E"/>
    <w:rsid w:val="00120664"/>
    <w:rsid w:val="00120993"/>
    <w:rsid w:val="00120E2A"/>
    <w:rsid w:val="00120F19"/>
    <w:rsid w:val="001210C3"/>
    <w:rsid w:val="00121134"/>
    <w:rsid w:val="001214C1"/>
    <w:rsid w:val="00121DAF"/>
    <w:rsid w:val="001222FE"/>
    <w:rsid w:val="00122630"/>
    <w:rsid w:val="0012286B"/>
    <w:rsid w:val="00122BB6"/>
    <w:rsid w:val="0012331D"/>
    <w:rsid w:val="00123325"/>
    <w:rsid w:val="001236C1"/>
    <w:rsid w:val="00123AAC"/>
    <w:rsid w:val="00123B91"/>
    <w:rsid w:val="00124536"/>
    <w:rsid w:val="0012463F"/>
    <w:rsid w:val="00124906"/>
    <w:rsid w:val="00124AA6"/>
    <w:rsid w:val="00124CDD"/>
    <w:rsid w:val="00125D4D"/>
    <w:rsid w:val="00126096"/>
    <w:rsid w:val="00126127"/>
    <w:rsid w:val="001264F3"/>
    <w:rsid w:val="0012656E"/>
    <w:rsid w:val="0012692A"/>
    <w:rsid w:val="00126F24"/>
    <w:rsid w:val="00126FF0"/>
    <w:rsid w:val="00127353"/>
    <w:rsid w:val="00127B4A"/>
    <w:rsid w:val="00127CE0"/>
    <w:rsid w:val="001304EF"/>
    <w:rsid w:val="001307C2"/>
    <w:rsid w:val="001308E4"/>
    <w:rsid w:val="00130AE6"/>
    <w:rsid w:val="00130C7D"/>
    <w:rsid w:val="001310D8"/>
    <w:rsid w:val="00131240"/>
    <w:rsid w:val="0013133F"/>
    <w:rsid w:val="00131408"/>
    <w:rsid w:val="001317EE"/>
    <w:rsid w:val="00131965"/>
    <w:rsid w:val="00131F34"/>
    <w:rsid w:val="00132021"/>
    <w:rsid w:val="00132814"/>
    <w:rsid w:val="001328CC"/>
    <w:rsid w:val="00132A3B"/>
    <w:rsid w:val="00132B63"/>
    <w:rsid w:val="00132FA1"/>
    <w:rsid w:val="001330E8"/>
    <w:rsid w:val="0013371B"/>
    <w:rsid w:val="00133895"/>
    <w:rsid w:val="00133A51"/>
    <w:rsid w:val="001345D2"/>
    <w:rsid w:val="00134B3A"/>
    <w:rsid w:val="00134CCB"/>
    <w:rsid w:val="00135157"/>
    <w:rsid w:val="00135207"/>
    <w:rsid w:val="0013544B"/>
    <w:rsid w:val="0013553B"/>
    <w:rsid w:val="001356B1"/>
    <w:rsid w:val="00135AE9"/>
    <w:rsid w:val="00135BD7"/>
    <w:rsid w:val="00135BEB"/>
    <w:rsid w:val="00135C07"/>
    <w:rsid w:val="00136032"/>
    <w:rsid w:val="001360D5"/>
    <w:rsid w:val="00136CD3"/>
    <w:rsid w:val="00137293"/>
    <w:rsid w:val="00137DF3"/>
    <w:rsid w:val="00137E74"/>
    <w:rsid w:val="0014011A"/>
    <w:rsid w:val="001403B8"/>
    <w:rsid w:val="001404D2"/>
    <w:rsid w:val="00141316"/>
    <w:rsid w:val="001414BE"/>
    <w:rsid w:val="001414E3"/>
    <w:rsid w:val="001419E6"/>
    <w:rsid w:val="00141F30"/>
    <w:rsid w:val="00141FCF"/>
    <w:rsid w:val="001427A6"/>
    <w:rsid w:val="001429F3"/>
    <w:rsid w:val="00142F5B"/>
    <w:rsid w:val="001438CB"/>
    <w:rsid w:val="00143A4C"/>
    <w:rsid w:val="00143B17"/>
    <w:rsid w:val="00144312"/>
    <w:rsid w:val="001449A4"/>
    <w:rsid w:val="00145002"/>
    <w:rsid w:val="00145353"/>
    <w:rsid w:val="00145514"/>
    <w:rsid w:val="00145598"/>
    <w:rsid w:val="001459F1"/>
    <w:rsid w:val="00145A36"/>
    <w:rsid w:val="00145BB1"/>
    <w:rsid w:val="00145C79"/>
    <w:rsid w:val="0014621B"/>
    <w:rsid w:val="00146539"/>
    <w:rsid w:val="00146579"/>
    <w:rsid w:val="0014693B"/>
    <w:rsid w:val="00146ADF"/>
    <w:rsid w:val="00146BEF"/>
    <w:rsid w:val="0014721D"/>
    <w:rsid w:val="0014738F"/>
    <w:rsid w:val="0014751C"/>
    <w:rsid w:val="0014754E"/>
    <w:rsid w:val="00147ACA"/>
    <w:rsid w:val="00147B2E"/>
    <w:rsid w:val="001500FC"/>
    <w:rsid w:val="00150AA9"/>
    <w:rsid w:val="00150DB5"/>
    <w:rsid w:val="00151127"/>
    <w:rsid w:val="00151169"/>
    <w:rsid w:val="001512CC"/>
    <w:rsid w:val="001518D2"/>
    <w:rsid w:val="00151C41"/>
    <w:rsid w:val="00151CEE"/>
    <w:rsid w:val="00152223"/>
    <w:rsid w:val="00152259"/>
    <w:rsid w:val="001529E0"/>
    <w:rsid w:val="001530BB"/>
    <w:rsid w:val="00153272"/>
    <w:rsid w:val="001532F9"/>
    <w:rsid w:val="00153A15"/>
    <w:rsid w:val="00153BB3"/>
    <w:rsid w:val="00154023"/>
    <w:rsid w:val="00154058"/>
    <w:rsid w:val="001540AE"/>
    <w:rsid w:val="001540F9"/>
    <w:rsid w:val="0015425F"/>
    <w:rsid w:val="001553CD"/>
    <w:rsid w:val="001556B6"/>
    <w:rsid w:val="00155B51"/>
    <w:rsid w:val="00156575"/>
    <w:rsid w:val="001565A0"/>
    <w:rsid w:val="00156901"/>
    <w:rsid w:val="00156AFE"/>
    <w:rsid w:val="00156FEB"/>
    <w:rsid w:val="001571DF"/>
    <w:rsid w:val="0015724E"/>
    <w:rsid w:val="00157561"/>
    <w:rsid w:val="0015775E"/>
    <w:rsid w:val="00157A7E"/>
    <w:rsid w:val="001609F2"/>
    <w:rsid w:val="00161297"/>
    <w:rsid w:val="001615B6"/>
    <w:rsid w:val="0016213B"/>
    <w:rsid w:val="0016251A"/>
    <w:rsid w:val="001630FA"/>
    <w:rsid w:val="0016313E"/>
    <w:rsid w:val="00163459"/>
    <w:rsid w:val="00163C8A"/>
    <w:rsid w:val="00164380"/>
    <w:rsid w:val="0016482F"/>
    <w:rsid w:val="00164CE0"/>
    <w:rsid w:val="00164D14"/>
    <w:rsid w:val="001650A2"/>
    <w:rsid w:val="001651C4"/>
    <w:rsid w:val="00165712"/>
    <w:rsid w:val="00165DAD"/>
    <w:rsid w:val="00165DF5"/>
    <w:rsid w:val="00165DFA"/>
    <w:rsid w:val="00166232"/>
    <w:rsid w:val="001662C7"/>
    <w:rsid w:val="00166AA2"/>
    <w:rsid w:val="00166D04"/>
    <w:rsid w:val="00166F62"/>
    <w:rsid w:val="00167061"/>
    <w:rsid w:val="0016722D"/>
    <w:rsid w:val="001674CE"/>
    <w:rsid w:val="001676C5"/>
    <w:rsid w:val="00167993"/>
    <w:rsid w:val="00167DBF"/>
    <w:rsid w:val="00167E02"/>
    <w:rsid w:val="00167EDE"/>
    <w:rsid w:val="00167FDF"/>
    <w:rsid w:val="001702E5"/>
    <w:rsid w:val="001705AC"/>
    <w:rsid w:val="00170B6E"/>
    <w:rsid w:val="00170E95"/>
    <w:rsid w:val="00171609"/>
    <w:rsid w:val="001727E0"/>
    <w:rsid w:val="00172B67"/>
    <w:rsid w:val="00172C59"/>
    <w:rsid w:val="00172CEE"/>
    <w:rsid w:val="00172D95"/>
    <w:rsid w:val="00173230"/>
    <w:rsid w:val="00173243"/>
    <w:rsid w:val="001736BD"/>
    <w:rsid w:val="00173C7B"/>
    <w:rsid w:val="00174437"/>
    <w:rsid w:val="00174541"/>
    <w:rsid w:val="0017467F"/>
    <w:rsid w:val="00174995"/>
    <w:rsid w:val="00174E4A"/>
    <w:rsid w:val="001753F2"/>
    <w:rsid w:val="00175541"/>
    <w:rsid w:val="00175F4A"/>
    <w:rsid w:val="001761B8"/>
    <w:rsid w:val="001763D8"/>
    <w:rsid w:val="00176400"/>
    <w:rsid w:val="001764EE"/>
    <w:rsid w:val="00176A37"/>
    <w:rsid w:val="00176A43"/>
    <w:rsid w:val="00176D51"/>
    <w:rsid w:val="00176E8B"/>
    <w:rsid w:val="00176EF3"/>
    <w:rsid w:val="00176F37"/>
    <w:rsid w:val="00176F42"/>
    <w:rsid w:val="00176FD9"/>
    <w:rsid w:val="001772DC"/>
    <w:rsid w:val="00180188"/>
    <w:rsid w:val="00180848"/>
    <w:rsid w:val="001809FF"/>
    <w:rsid w:val="00180DF4"/>
    <w:rsid w:val="001812C6"/>
    <w:rsid w:val="001813BC"/>
    <w:rsid w:val="001813C0"/>
    <w:rsid w:val="001813D2"/>
    <w:rsid w:val="00182463"/>
    <w:rsid w:val="001828D2"/>
    <w:rsid w:val="001831DC"/>
    <w:rsid w:val="00183A77"/>
    <w:rsid w:val="00184339"/>
    <w:rsid w:val="0018489E"/>
    <w:rsid w:val="00185170"/>
    <w:rsid w:val="0018553B"/>
    <w:rsid w:val="00185614"/>
    <w:rsid w:val="00185D68"/>
    <w:rsid w:val="00185ECC"/>
    <w:rsid w:val="00186137"/>
    <w:rsid w:val="00186974"/>
    <w:rsid w:val="00186A1F"/>
    <w:rsid w:val="00186A9A"/>
    <w:rsid w:val="001873A4"/>
    <w:rsid w:val="00187C2A"/>
    <w:rsid w:val="00187E81"/>
    <w:rsid w:val="001900C4"/>
    <w:rsid w:val="00190295"/>
    <w:rsid w:val="0019052F"/>
    <w:rsid w:val="00190AE3"/>
    <w:rsid w:val="00191672"/>
    <w:rsid w:val="00192205"/>
    <w:rsid w:val="001926AB"/>
    <w:rsid w:val="00192785"/>
    <w:rsid w:val="00192852"/>
    <w:rsid w:val="00192899"/>
    <w:rsid w:val="00192B0E"/>
    <w:rsid w:val="00193000"/>
    <w:rsid w:val="0019372E"/>
    <w:rsid w:val="00193DE4"/>
    <w:rsid w:val="00193F12"/>
    <w:rsid w:val="0019427B"/>
    <w:rsid w:val="00194636"/>
    <w:rsid w:val="00195461"/>
    <w:rsid w:val="00195B61"/>
    <w:rsid w:val="00196613"/>
    <w:rsid w:val="00196A62"/>
    <w:rsid w:val="00197023"/>
    <w:rsid w:val="001975E5"/>
    <w:rsid w:val="001A015B"/>
    <w:rsid w:val="001A0197"/>
    <w:rsid w:val="001A0658"/>
    <w:rsid w:val="001A08B3"/>
    <w:rsid w:val="001A0AA9"/>
    <w:rsid w:val="001A0C1F"/>
    <w:rsid w:val="001A117B"/>
    <w:rsid w:val="001A1523"/>
    <w:rsid w:val="001A2699"/>
    <w:rsid w:val="001A26F4"/>
    <w:rsid w:val="001A299E"/>
    <w:rsid w:val="001A2BD2"/>
    <w:rsid w:val="001A30C2"/>
    <w:rsid w:val="001A3341"/>
    <w:rsid w:val="001A3B7B"/>
    <w:rsid w:val="001A43DD"/>
    <w:rsid w:val="001A444D"/>
    <w:rsid w:val="001A45FE"/>
    <w:rsid w:val="001A4CBC"/>
    <w:rsid w:val="001A5039"/>
    <w:rsid w:val="001A50C1"/>
    <w:rsid w:val="001A5221"/>
    <w:rsid w:val="001A5459"/>
    <w:rsid w:val="001A58DF"/>
    <w:rsid w:val="001A658E"/>
    <w:rsid w:val="001A66DC"/>
    <w:rsid w:val="001A6DB5"/>
    <w:rsid w:val="001A718E"/>
    <w:rsid w:val="001A7952"/>
    <w:rsid w:val="001A7A7C"/>
    <w:rsid w:val="001A7F9F"/>
    <w:rsid w:val="001B012C"/>
    <w:rsid w:val="001B018A"/>
    <w:rsid w:val="001B0E63"/>
    <w:rsid w:val="001B0F2E"/>
    <w:rsid w:val="001B0FDF"/>
    <w:rsid w:val="001B13C0"/>
    <w:rsid w:val="001B17E1"/>
    <w:rsid w:val="001B197B"/>
    <w:rsid w:val="001B24BF"/>
    <w:rsid w:val="001B26ED"/>
    <w:rsid w:val="001B2999"/>
    <w:rsid w:val="001B2AA6"/>
    <w:rsid w:val="001B2F07"/>
    <w:rsid w:val="001B3421"/>
    <w:rsid w:val="001B3596"/>
    <w:rsid w:val="001B372F"/>
    <w:rsid w:val="001B3793"/>
    <w:rsid w:val="001B3907"/>
    <w:rsid w:val="001B39C7"/>
    <w:rsid w:val="001B43F1"/>
    <w:rsid w:val="001B4A5A"/>
    <w:rsid w:val="001B4B46"/>
    <w:rsid w:val="001B555A"/>
    <w:rsid w:val="001B575F"/>
    <w:rsid w:val="001B5A93"/>
    <w:rsid w:val="001B67BE"/>
    <w:rsid w:val="001B6A7B"/>
    <w:rsid w:val="001B6B6E"/>
    <w:rsid w:val="001B74C9"/>
    <w:rsid w:val="001B7510"/>
    <w:rsid w:val="001B7731"/>
    <w:rsid w:val="001B7894"/>
    <w:rsid w:val="001C0296"/>
    <w:rsid w:val="001C0845"/>
    <w:rsid w:val="001C0E6E"/>
    <w:rsid w:val="001C0EDB"/>
    <w:rsid w:val="001C11C2"/>
    <w:rsid w:val="001C17FA"/>
    <w:rsid w:val="001C19A6"/>
    <w:rsid w:val="001C1C00"/>
    <w:rsid w:val="001C1CAF"/>
    <w:rsid w:val="001C1F60"/>
    <w:rsid w:val="001C203B"/>
    <w:rsid w:val="001C24B0"/>
    <w:rsid w:val="001C279A"/>
    <w:rsid w:val="001C279E"/>
    <w:rsid w:val="001C2ADB"/>
    <w:rsid w:val="001C2E8D"/>
    <w:rsid w:val="001C3445"/>
    <w:rsid w:val="001C376D"/>
    <w:rsid w:val="001C3B1C"/>
    <w:rsid w:val="001C4097"/>
    <w:rsid w:val="001C42EC"/>
    <w:rsid w:val="001C478B"/>
    <w:rsid w:val="001C4894"/>
    <w:rsid w:val="001C4B12"/>
    <w:rsid w:val="001C4C64"/>
    <w:rsid w:val="001C4F69"/>
    <w:rsid w:val="001C5467"/>
    <w:rsid w:val="001C562B"/>
    <w:rsid w:val="001C596A"/>
    <w:rsid w:val="001C6C23"/>
    <w:rsid w:val="001C6F5D"/>
    <w:rsid w:val="001C6F74"/>
    <w:rsid w:val="001C6FCA"/>
    <w:rsid w:val="001C7698"/>
    <w:rsid w:val="001C7855"/>
    <w:rsid w:val="001C78D2"/>
    <w:rsid w:val="001C7926"/>
    <w:rsid w:val="001D055D"/>
    <w:rsid w:val="001D0845"/>
    <w:rsid w:val="001D0AB4"/>
    <w:rsid w:val="001D0B06"/>
    <w:rsid w:val="001D0D51"/>
    <w:rsid w:val="001D21CB"/>
    <w:rsid w:val="001D2248"/>
    <w:rsid w:val="001D2404"/>
    <w:rsid w:val="001D27BB"/>
    <w:rsid w:val="001D29E7"/>
    <w:rsid w:val="001D2C03"/>
    <w:rsid w:val="001D3270"/>
    <w:rsid w:val="001D32CA"/>
    <w:rsid w:val="001D388C"/>
    <w:rsid w:val="001D39A1"/>
    <w:rsid w:val="001D3BD4"/>
    <w:rsid w:val="001D4264"/>
    <w:rsid w:val="001D465F"/>
    <w:rsid w:val="001D4827"/>
    <w:rsid w:val="001D4DDD"/>
    <w:rsid w:val="001D5898"/>
    <w:rsid w:val="001D589A"/>
    <w:rsid w:val="001D5934"/>
    <w:rsid w:val="001D5DDC"/>
    <w:rsid w:val="001D6206"/>
    <w:rsid w:val="001D6AB1"/>
    <w:rsid w:val="001D6B3F"/>
    <w:rsid w:val="001D6D3E"/>
    <w:rsid w:val="001D6FA9"/>
    <w:rsid w:val="001D7051"/>
    <w:rsid w:val="001D7487"/>
    <w:rsid w:val="001D78A3"/>
    <w:rsid w:val="001D7D43"/>
    <w:rsid w:val="001E0174"/>
    <w:rsid w:val="001E0362"/>
    <w:rsid w:val="001E04B8"/>
    <w:rsid w:val="001E0635"/>
    <w:rsid w:val="001E0985"/>
    <w:rsid w:val="001E0EC2"/>
    <w:rsid w:val="001E0F10"/>
    <w:rsid w:val="001E193C"/>
    <w:rsid w:val="001E216F"/>
    <w:rsid w:val="001E2E38"/>
    <w:rsid w:val="001E2EA6"/>
    <w:rsid w:val="001E32B7"/>
    <w:rsid w:val="001E34CF"/>
    <w:rsid w:val="001E3688"/>
    <w:rsid w:val="001E431A"/>
    <w:rsid w:val="001E4984"/>
    <w:rsid w:val="001E4F63"/>
    <w:rsid w:val="001E5686"/>
    <w:rsid w:val="001E58B7"/>
    <w:rsid w:val="001E5951"/>
    <w:rsid w:val="001E6057"/>
    <w:rsid w:val="001E62B6"/>
    <w:rsid w:val="001E63F5"/>
    <w:rsid w:val="001E6580"/>
    <w:rsid w:val="001E6645"/>
    <w:rsid w:val="001E68DF"/>
    <w:rsid w:val="001E6A53"/>
    <w:rsid w:val="001E6B13"/>
    <w:rsid w:val="001E6B7E"/>
    <w:rsid w:val="001E6BBE"/>
    <w:rsid w:val="001E6BC3"/>
    <w:rsid w:val="001E6C6D"/>
    <w:rsid w:val="001E74B9"/>
    <w:rsid w:val="001E79BB"/>
    <w:rsid w:val="001F0204"/>
    <w:rsid w:val="001F0460"/>
    <w:rsid w:val="001F11E8"/>
    <w:rsid w:val="001F1315"/>
    <w:rsid w:val="001F232E"/>
    <w:rsid w:val="001F233D"/>
    <w:rsid w:val="001F24AA"/>
    <w:rsid w:val="001F2514"/>
    <w:rsid w:val="001F254F"/>
    <w:rsid w:val="001F271F"/>
    <w:rsid w:val="001F2D73"/>
    <w:rsid w:val="001F3068"/>
    <w:rsid w:val="001F3788"/>
    <w:rsid w:val="001F392A"/>
    <w:rsid w:val="001F3D42"/>
    <w:rsid w:val="001F3DCF"/>
    <w:rsid w:val="001F3E82"/>
    <w:rsid w:val="001F43D1"/>
    <w:rsid w:val="001F4936"/>
    <w:rsid w:val="001F5763"/>
    <w:rsid w:val="001F5BBA"/>
    <w:rsid w:val="001F5D82"/>
    <w:rsid w:val="001F6052"/>
    <w:rsid w:val="001F60B9"/>
    <w:rsid w:val="001F61B5"/>
    <w:rsid w:val="001F6212"/>
    <w:rsid w:val="001F65E5"/>
    <w:rsid w:val="001F6638"/>
    <w:rsid w:val="001F68D1"/>
    <w:rsid w:val="001F6B96"/>
    <w:rsid w:val="001F6D4F"/>
    <w:rsid w:val="001F7B75"/>
    <w:rsid w:val="001F7FAE"/>
    <w:rsid w:val="0020039B"/>
    <w:rsid w:val="002007CB"/>
    <w:rsid w:val="00200E62"/>
    <w:rsid w:val="00201225"/>
    <w:rsid w:val="00201888"/>
    <w:rsid w:val="0020220B"/>
    <w:rsid w:val="0020223F"/>
    <w:rsid w:val="00202352"/>
    <w:rsid w:val="0020240A"/>
    <w:rsid w:val="00202486"/>
    <w:rsid w:val="002026D0"/>
    <w:rsid w:val="00202A11"/>
    <w:rsid w:val="00203358"/>
    <w:rsid w:val="0020350E"/>
    <w:rsid w:val="00203512"/>
    <w:rsid w:val="00203601"/>
    <w:rsid w:val="002037AE"/>
    <w:rsid w:val="00203A46"/>
    <w:rsid w:val="00203AB1"/>
    <w:rsid w:val="002040CE"/>
    <w:rsid w:val="0020483E"/>
    <w:rsid w:val="002049ED"/>
    <w:rsid w:val="00204C58"/>
    <w:rsid w:val="00205439"/>
    <w:rsid w:val="00205954"/>
    <w:rsid w:val="00206936"/>
    <w:rsid w:val="00206DE4"/>
    <w:rsid w:val="00207329"/>
    <w:rsid w:val="00207B58"/>
    <w:rsid w:val="00207C56"/>
    <w:rsid w:val="00210463"/>
    <w:rsid w:val="00210889"/>
    <w:rsid w:val="0021115B"/>
    <w:rsid w:val="00211B1D"/>
    <w:rsid w:val="00211D69"/>
    <w:rsid w:val="00211DDA"/>
    <w:rsid w:val="002120CE"/>
    <w:rsid w:val="00212135"/>
    <w:rsid w:val="00212863"/>
    <w:rsid w:val="00213161"/>
    <w:rsid w:val="00213562"/>
    <w:rsid w:val="002135B0"/>
    <w:rsid w:val="00213C69"/>
    <w:rsid w:val="00214576"/>
    <w:rsid w:val="00214860"/>
    <w:rsid w:val="00214D47"/>
    <w:rsid w:val="00215FE2"/>
    <w:rsid w:val="002163F9"/>
    <w:rsid w:val="002168B1"/>
    <w:rsid w:val="00216AA1"/>
    <w:rsid w:val="00217103"/>
    <w:rsid w:val="0021726A"/>
    <w:rsid w:val="002173DE"/>
    <w:rsid w:val="00217BCE"/>
    <w:rsid w:val="00217D41"/>
    <w:rsid w:val="00217D74"/>
    <w:rsid w:val="00220C51"/>
    <w:rsid w:val="00220F38"/>
    <w:rsid w:val="00221149"/>
    <w:rsid w:val="002212D5"/>
    <w:rsid w:val="0022168C"/>
    <w:rsid w:val="002219BD"/>
    <w:rsid w:val="00222345"/>
    <w:rsid w:val="00222744"/>
    <w:rsid w:val="00222798"/>
    <w:rsid w:val="0022285A"/>
    <w:rsid w:val="002230DC"/>
    <w:rsid w:val="00223257"/>
    <w:rsid w:val="00223301"/>
    <w:rsid w:val="00223431"/>
    <w:rsid w:val="0022347F"/>
    <w:rsid w:val="00223489"/>
    <w:rsid w:val="002235C9"/>
    <w:rsid w:val="00223628"/>
    <w:rsid w:val="00223846"/>
    <w:rsid w:val="00223873"/>
    <w:rsid w:val="00223934"/>
    <w:rsid w:val="00223937"/>
    <w:rsid w:val="00223E7B"/>
    <w:rsid w:val="00223F88"/>
    <w:rsid w:val="0022430E"/>
    <w:rsid w:val="00224319"/>
    <w:rsid w:val="00224971"/>
    <w:rsid w:val="00224E96"/>
    <w:rsid w:val="0022598B"/>
    <w:rsid w:val="002259C7"/>
    <w:rsid w:val="0022653D"/>
    <w:rsid w:val="00226707"/>
    <w:rsid w:val="00226977"/>
    <w:rsid w:val="00226FEC"/>
    <w:rsid w:val="00227729"/>
    <w:rsid w:val="00227931"/>
    <w:rsid w:val="00227953"/>
    <w:rsid w:val="00227AF2"/>
    <w:rsid w:val="00230742"/>
    <w:rsid w:val="00230B8D"/>
    <w:rsid w:val="002314C7"/>
    <w:rsid w:val="00232356"/>
    <w:rsid w:val="002324D8"/>
    <w:rsid w:val="00232AFA"/>
    <w:rsid w:val="00232DE0"/>
    <w:rsid w:val="00232E83"/>
    <w:rsid w:val="0023322E"/>
    <w:rsid w:val="00233319"/>
    <w:rsid w:val="002333DA"/>
    <w:rsid w:val="002333F4"/>
    <w:rsid w:val="00233461"/>
    <w:rsid w:val="002334F0"/>
    <w:rsid w:val="002336A7"/>
    <w:rsid w:val="0023407D"/>
    <w:rsid w:val="00234420"/>
    <w:rsid w:val="00234723"/>
    <w:rsid w:val="00234A39"/>
    <w:rsid w:val="0023512E"/>
    <w:rsid w:val="002351DC"/>
    <w:rsid w:val="00235278"/>
    <w:rsid w:val="00235967"/>
    <w:rsid w:val="00235C82"/>
    <w:rsid w:val="00235FF2"/>
    <w:rsid w:val="002363DE"/>
    <w:rsid w:val="0023668E"/>
    <w:rsid w:val="002368E4"/>
    <w:rsid w:val="002369B6"/>
    <w:rsid w:val="00236C4E"/>
    <w:rsid w:val="00236D03"/>
    <w:rsid w:val="00236F76"/>
    <w:rsid w:val="00237636"/>
    <w:rsid w:val="0023793B"/>
    <w:rsid w:val="00237EC1"/>
    <w:rsid w:val="0024016C"/>
    <w:rsid w:val="00240979"/>
    <w:rsid w:val="00240D26"/>
    <w:rsid w:val="00241062"/>
    <w:rsid w:val="002410A6"/>
    <w:rsid w:val="002410F8"/>
    <w:rsid w:val="00241212"/>
    <w:rsid w:val="00241415"/>
    <w:rsid w:val="002417E2"/>
    <w:rsid w:val="002418BE"/>
    <w:rsid w:val="00241FED"/>
    <w:rsid w:val="00242C21"/>
    <w:rsid w:val="00242E2C"/>
    <w:rsid w:val="002435D3"/>
    <w:rsid w:val="00243D2F"/>
    <w:rsid w:val="00243D5A"/>
    <w:rsid w:val="00243F9E"/>
    <w:rsid w:val="002443A0"/>
    <w:rsid w:val="00244440"/>
    <w:rsid w:val="002447B3"/>
    <w:rsid w:val="00244968"/>
    <w:rsid w:val="00244998"/>
    <w:rsid w:val="00244C44"/>
    <w:rsid w:val="00244E93"/>
    <w:rsid w:val="002458B5"/>
    <w:rsid w:val="00245DAE"/>
    <w:rsid w:val="00246041"/>
    <w:rsid w:val="00246182"/>
    <w:rsid w:val="0024646B"/>
    <w:rsid w:val="00246849"/>
    <w:rsid w:val="0024718D"/>
    <w:rsid w:val="002473C1"/>
    <w:rsid w:val="00247463"/>
    <w:rsid w:val="00247719"/>
    <w:rsid w:val="002479ED"/>
    <w:rsid w:val="00247E41"/>
    <w:rsid w:val="002507D1"/>
    <w:rsid w:val="00250CDA"/>
    <w:rsid w:val="00250EA0"/>
    <w:rsid w:val="00251A02"/>
    <w:rsid w:val="00252A4D"/>
    <w:rsid w:val="00252CBA"/>
    <w:rsid w:val="00252F0A"/>
    <w:rsid w:val="00253440"/>
    <w:rsid w:val="00253559"/>
    <w:rsid w:val="0025364C"/>
    <w:rsid w:val="002539E2"/>
    <w:rsid w:val="002543DE"/>
    <w:rsid w:val="002545AA"/>
    <w:rsid w:val="00254630"/>
    <w:rsid w:val="00254827"/>
    <w:rsid w:val="00254A31"/>
    <w:rsid w:val="00254D55"/>
    <w:rsid w:val="00254F16"/>
    <w:rsid w:val="002551D2"/>
    <w:rsid w:val="002553EA"/>
    <w:rsid w:val="002553FB"/>
    <w:rsid w:val="002554DA"/>
    <w:rsid w:val="002555BD"/>
    <w:rsid w:val="0025562F"/>
    <w:rsid w:val="00255A33"/>
    <w:rsid w:val="00255D36"/>
    <w:rsid w:val="00255E41"/>
    <w:rsid w:val="002563AD"/>
    <w:rsid w:val="00256689"/>
    <w:rsid w:val="00256A51"/>
    <w:rsid w:val="00256B02"/>
    <w:rsid w:val="00256C00"/>
    <w:rsid w:val="00256E68"/>
    <w:rsid w:val="00256E8F"/>
    <w:rsid w:val="0025754A"/>
    <w:rsid w:val="0025791C"/>
    <w:rsid w:val="00257A2C"/>
    <w:rsid w:val="002600CE"/>
    <w:rsid w:val="002600EE"/>
    <w:rsid w:val="002602CD"/>
    <w:rsid w:val="002603C0"/>
    <w:rsid w:val="002608D8"/>
    <w:rsid w:val="00260CA7"/>
    <w:rsid w:val="00261208"/>
    <w:rsid w:val="0026125F"/>
    <w:rsid w:val="00261607"/>
    <w:rsid w:val="0026183E"/>
    <w:rsid w:val="00261859"/>
    <w:rsid w:val="00262219"/>
    <w:rsid w:val="00262459"/>
    <w:rsid w:val="0026286A"/>
    <w:rsid w:val="00262975"/>
    <w:rsid w:val="002629E2"/>
    <w:rsid w:val="00262DE8"/>
    <w:rsid w:val="0026321C"/>
    <w:rsid w:val="00263230"/>
    <w:rsid w:val="00263C04"/>
    <w:rsid w:val="00263CE7"/>
    <w:rsid w:val="00263FC7"/>
    <w:rsid w:val="002641CA"/>
    <w:rsid w:val="002642AA"/>
    <w:rsid w:val="002646D6"/>
    <w:rsid w:val="00265057"/>
    <w:rsid w:val="00265152"/>
    <w:rsid w:val="0026555D"/>
    <w:rsid w:val="00265704"/>
    <w:rsid w:val="00265EEB"/>
    <w:rsid w:val="0026691D"/>
    <w:rsid w:val="00266E3F"/>
    <w:rsid w:val="00266F57"/>
    <w:rsid w:val="002671FF"/>
    <w:rsid w:val="0026785C"/>
    <w:rsid w:val="0026798C"/>
    <w:rsid w:val="00270791"/>
    <w:rsid w:val="002713F8"/>
    <w:rsid w:val="002714E3"/>
    <w:rsid w:val="00271CDC"/>
    <w:rsid w:val="00272143"/>
    <w:rsid w:val="00272FEA"/>
    <w:rsid w:val="0027315C"/>
    <w:rsid w:val="00273C76"/>
    <w:rsid w:val="00274371"/>
    <w:rsid w:val="00274403"/>
    <w:rsid w:val="00274487"/>
    <w:rsid w:val="002748B5"/>
    <w:rsid w:val="0027528B"/>
    <w:rsid w:val="002756DB"/>
    <w:rsid w:val="00275DB6"/>
    <w:rsid w:val="00275F54"/>
    <w:rsid w:val="00276832"/>
    <w:rsid w:val="00276897"/>
    <w:rsid w:val="00276DDF"/>
    <w:rsid w:val="002770E1"/>
    <w:rsid w:val="002771B1"/>
    <w:rsid w:val="00277374"/>
    <w:rsid w:val="00277D2F"/>
    <w:rsid w:val="0028031D"/>
    <w:rsid w:val="00280704"/>
    <w:rsid w:val="00280E97"/>
    <w:rsid w:val="002817CC"/>
    <w:rsid w:val="0028180D"/>
    <w:rsid w:val="00281C5A"/>
    <w:rsid w:val="00282A32"/>
    <w:rsid w:val="002832FB"/>
    <w:rsid w:val="0028330D"/>
    <w:rsid w:val="002834C1"/>
    <w:rsid w:val="0028357B"/>
    <w:rsid w:val="002836B1"/>
    <w:rsid w:val="00283A8C"/>
    <w:rsid w:val="00283D70"/>
    <w:rsid w:val="00284532"/>
    <w:rsid w:val="0028484A"/>
    <w:rsid w:val="00284958"/>
    <w:rsid w:val="00284BCA"/>
    <w:rsid w:val="00284BF2"/>
    <w:rsid w:val="00284C29"/>
    <w:rsid w:val="00284CA5"/>
    <w:rsid w:val="00284F96"/>
    <w:rsid w:val="00285375"/>
    <w:rsid w:val="00285968"/>
    <w:rsid w:val="002862AA"/>
    <w:rsid w:val="002868BB"/>
    <w:rsid w:val="002876E4"/>
    <w:rsid w:val="00287DCD"/>
    <w:rsid w:val="0029016F"/>
    <w:rsid w:val="00290452"/>
    <w:rsid w:val="002904FB"/>
    <w:rsid w:val="0029057B"/>
    <w:rsid w:val="00290628"/>
    <w:rsid w:val="00290AA7"/>
    <w:rsid w:val="00290DE3"/>
    <w:rsid w:val="00290E83"/>
    <w:rsid w:val="00291318"/>
    <w:rsid w:val="0029133E"/>
    <w:rsid w:val="002914E8"/>
    <w:rsid w:val="00291536"/>
    <w:rsid w:val="002916F8"/>
    <w:rsid w:val="00291D70"/>
    <w:rsid w:val="0029260D"/>
    <w:rsid w:val="00292D89"/>
    <w:rsid w:val="00293674"/>
    <w:rsid w:val="00293925"/>
    <w:rsid w:val="00293FDF"/>
    <w:rsid w:val="002941D1"/>
    <w:rsid w:val="002946BC"/>
    <w:rsid w:val="00294CC1"/>
    <w:rsid w:val="00294E6D"/>
    <w:rsid w:val="00294EDB"/>
    <w:rsid w:val="00294FEA"/>
    <w:rsid w:val="0029540C"/>
    <w:rsid w:val="002955AE"/>
    <w:rsid w:val="00295A91"/>
    <w:rsid w:val="00295ABA"/>
    <w:rsid w:val="00295B85"/>
    <w:rsid w:val="00295FFF"/>
    <w:rsid w:val="00296389"/>
    <w:rsid w:val="0029651C"/>
    <w:rsid w:val="00296529"/>
    <w:rsid w:val="00296A66"/>
    <w:rsid w:val="00296BAF"/>
    <w:rsid w:val="00297164"/>
    <w:rsid w:val="0029764D"/>
    <w:rsid w:val="00297A5F"/>
    <w:rsid w:val="00297A82"/>
    <w:rsid w:val="00297AC6"/>
    <w:rsid w:val="00297D97"/>
    <w:rsid w:val="002A000B"/>
    <w:rsid w:val="002A0580"/>
    <w:rsid w:val="002A0BC0"/>
    <w:rsid w:val="002A0C64"/>
    <w:rsid w:val="002A0F53"/>
    <w:rsid w:val="002A109A"/>
    <w:rsid w:val="002A1551"/>
    <w:rsid w:val="002A16D6"/>
    <w:rsid w:val="002A1DC3"/>
    <w:rsid w:val="002A20EE"/>
    <w:rsid w:val="002A223A"/>
    <w:rsid w:val="002A228F"/>
    <w:rsid w:val="002A266F"/>
    <w:rsid w:val="002A2D14"/>
    <w:rsid w:val="002A2FC0"/>
    <w:rsid w:val="002A3030"/>
    <w:rsid w:val="002A303C"/>
    <w:rsid w:val="002A35B5"/>
    <w:rsid w:val="002A3C9D"/>
    <w:rsid w:val="002A405E"/>
    <w:rsid w:val="002A4569"/>
    <w:rsid w:val="002A45B9"/>
    <w:rsid w:val="002A4C07"/>
    <w:rsid w:val="002A52F8"/>
    <w:rsid w:val="002A535E"/>
    <w:rsid w:val="002A5540"/>
    <w:rsid w:val="002A5830"/>
    <w:rsid w:val="002A58EC"/>
    <w:rsid w:val="002A5991"/>
    <w:rsid w:val="002A68FD"/>
    <w:rsid w:val="002A69A4"/>
    <w:rsid w:val="002A6D89"/>
    <w:rsid w:val="002A6DB8"/>
    <w:rsid w:val="002A71DD"/>
    <w:rsid w:val="002A7482"/>
    <w:rsid w:val="002A7875"/>
    <w:rsid w:val="002A7876"/>
    <w:rsid w:val="002A7CBD"/>
    <w:rsid w:val="002B0371"/>
    <w:rsid w:val="002B03C4"/>
    <w:rsid w:val="002B06AB"/>
    <w:rsid w:val="002B0C44"/>
    <w:rsid w:val="002B1883"/>
    <w:rsid w:val="002B1A5D"/>
    <w:rsid w:val="002B2534"/>
    <w:rsid w:val="002B2878"/>
    <w:rsid w:val="002B293F"/>
    <w:rsid w:val="002B29EA"/>
    <w:rsid w:val="002B2C4A"/>
    <w:rsid w:val="002B3208"/>
    <w:rsid w:val="002B32D0"/>
    <w:rsid w:val="002B3D25"/>
    <w:rsid w:val="002B3DD0"/>
    <w:rsid w:val="002B4364"/>
    <w:rsid w:val="002B45E6"/>
    <w:rsid w:val="002B4DD3"/>
    <w:rsid w:val="002B55F3"/>
    <w:rsid w:val="002B565B"/>
    <w:rsid w:val="002B626B"/>
    <w:rsid w:val="002B673C"/>
    <w:rsid w:val="002B6816"/>
    <w:rsid w:val="002B68ED"/>
    <w:rsid w:val="002B6B5A"/>
    <w:rsid w:val="002B6F27"/>
    <w:rsid w:val="002B741E"/>
    <w:rsid w:val="002B7DC9"/>
    <w:rsid w:val="002C097E"/>
    <w:rsid w:val="002C0981"/>
    <w:rsid w:val="002C0A67"/>
    <w:rsid w:val="002C0DD7"/>
    <w:rsid w:val="002C0F86"/>
    <w:rsid w:val="002C1399"/>
    <w:rsid w:val="002C178E"/>
    <w:rsid w:val="002C192D"/>
    <w:rsid w:val="002C2006"/>
    <w:rsid w:val="002C2551"/>
    <w:rsid w:val="002C29EC"/>
    <w:rsid w:val="002C2AA9"/>
    <w:rsid w:val="002C2FBA"/>
    <w:rsid w:val="002C3403"/>
    <w:rsid w:val="002C34EC"/>
    <w:rsid w:val="002C36FF"/>
    <w:rsid w:val="002C3A44"/>
    <w:rsid w:val="002C3AFE"/>
    <w:rsid w:val="002C41BB"/>
    <w:rsid w:val="002C4202"/>
    <w:rsid w:val="002C44BA"/>
    <w:rsid w:val="002C4613"/>
    <w:rsid w:val="002C48BA"/>
    <w:rsid w:val="002C4B91"/>
    <w:rsid w:val="002C4BFD"/>
    <w:rsid w:val="002C4E08"/>
    <w:rsid w:val="002C4F17"/>
    <w:rsid w:val="002C52C0"/>
    <w:rsid w:val="002C5A60"/>
    <w:rsid w:val="002C5FA8"/>
    <w:rsid w:val="002C6C42"/>
    <w:rsid w:val="002C70B2"/>
    <w:rsid w:val="002C7423"/>
    <w:rsid w:val="002C754A"/>
    <w:rsid w:val="002C7759"/>
    <w:rsid w:val="002C7894"/>
    <w:rsid w:val="002C7DBC"/>
    <w:rsid w:val="002C7EEC"/>
    <w:rsid w:val="002D001B"/>
    <w:rsid w:val="002D010C"/>
    <w:rsid w:val="002D07CA"/>
    <w:rsid w:val="002D0D53"/>
    <w:rsid w:val="002D11BA"/>
    <w:rsid w:val="002D1243"/>
    <w:rsid w:val="002D154E"/>
    <w:rsid w:val="002D1737"/>
    <w:rsid w:val="002D18D0"/>
    <w:rsid w:val="002D21D1"/>
    <w:rsid w:val="002D25D8"/>
    <w:rsid w:val="002D287C"/>
    <w:rsid w:val="002D2E79"/>
    <w:rsid w:val="002D2FAC"/>
    <w:rsid w:val="002D34A8"/>
    <w:rsid w:val="002D3AC0"/>
    <w:rsid w:val="002D40B6"/>
    <w:rsid w:val="002D42E2"/>
    <w:rsid w:val="002D4383"/>
    <w:rsid w:val="002D49FC"/>
    <w:rsid w:val="002D4CE6"/>
    <w:rsid w:val="002D4FF5"/>
    <w:rsid w:val="002D5F5B"/>
    <w:rsid w:val="002D6181"/>
    <w:rsid w:val="002D6943"/>
    <w:rsid w:val="002D6AF6"/>
    <w:rsid w:val="002D6B35"/>
    <w:rsid w:val="002D6C3E"/>
    <w:rsid w:val="002D6E47"/>
    <w:rsid w:val="002D7506"/>
    <w:rsid w:val="002D780A"/>
    <w:rsid w:val="002D7FE9"/>
    <w:rsid w:val="002E04E0"/>
    <w:rsid w:val="002E0584"/>
    <w:rsid w:val="002E097A"/>
    <w:rsid w:val="002E0E24"/>
    <w:rsid w:val="002E11D0"/>
    <w:rsid w:val="002E14B9"/>
    <w:rsid w:val="002E1C91"/>
    <w:rsid w:val="002E223F"/>
    <w:rsid w:val="002E266F"/>
    <w:rsid w:val="002E2EEE"/>
    <w:rsid w:val="002E2F9C"/>
    <w:rsid w:val="002E321B"/>
    <w:rsid w:val="002E324A"/>
    <w:rsid w:val="002E3DF0"/>
    <w:rsid w:val="002E3E47"/>
    <w:rsid w:val="002E47F8"/>
    <w:rsid w:val="002E4880"/>
    <w:rsid w:val="002E4E3E"/>
    <w:rsid w:val="002E5007"/>
    <w:rsid w:val="002E551B"/>
    <w:rsid w:val="002E5567"/>
    <w:rsid w:val="002E5748"/>
    <w:rsid w:val="002E5955"/>
    <w:rsid w:val="002E59E6"/>
    <w:rsid w:val="002E5B97"/>
    <w:rsid w:val="002E6151"/>
    <w:rsid w:val="002E63DA"/>
    <w:rsid w:val="002E675B"/>
    <w:rsid w:val="002E679C"/>
    <w:rsid w:val="002E6D85"/>
    <w:rsid w:val="002E6F8D"/>
    <w:rsid w:val="002E7128"/>
    <w:rsid w:val="002E7144"/>
    <w:rsid w:val="002E7B14"/>
    <w:rsid w:val="002E7BFB"/>
    <w:rsid w:val="002E7C8F"/>
    <w:rsid w:val="002E7DBC"/>
    <w:rsid w:val="002F00CE"/>
    <w:rsid w:val="002F0164"/>
    <w:rsid w:val="002F0289"/>
    <w:rsid w:val="002F02B3"/>
    <w:rsid w:val="002F02D9"/>
    <w:rsid w:val="002F060F"/>
    <w:rsid w:val="002F0751"/>
    <w:rsid w:val="002F0856"/>
    <w:rsid w:val="002F09A6"/>
    <w:rsid w:val="002F0CEA"/>
    <w:rsid w:val="002F13A0"/>
    <w:rsid w:val="002F144D"/>
    <w:rsid w:val="002F1BFB"/>
    <w:rsid w:val="002F1C8E"/>
    <w:rsid w:val="002F1E76"/>
    <w:rsid w:val="002F2093"/>
    <w:rsid w:val="002F232B"/>
    <w:rsid w:val="002F2747"/>
    <w:rsid w:val="002F27D6"/>
    <w:rsid w:val="002F2891"/>
    <w:rsid w:val="002F2894"/>
    <w:rsid w:val="002F2D42"/>
    <w:rsid w:val="002F2ED8"/>
    <w:rsid w:val="002F2FB9"/>
    <w:rsid w:val="002F33E4"/>
    <w:rsid w:val="002F3564"/>
    <w:rsid w:val="002F3680"/>
    <w:rsid w:val="002F3725"/>
    <w:rsid w:val="002F38A2"/>
    <w:rsid w:val="002F392E"/>
    <w:rsid w:val="002F3DDD"/>
    <w:rsid w:val="002F4171"/>
    <w:rsid w:val="002F41ED"/>
    <w:rsid w:val="002F453E"/>
    <w:rsid w:val="002F4796"/>
    <w:rsid w:val="002F4913"/>
    <w:rsid w:val="002F4CB0"/>
    <w:rsid w:val="002F50E4"/>
    <w:rsid w:val="002F51A8"/>
    <w:rsid w:val="002F51E9"/>
    <w:rsid w:val="002F5731"/>
    <w:rsid w:val="002F5C31"/>
    <w:rsid w:val="002F6845"/>
    <w:rsid w:val="002F699B"/>
    <w:rsid w:val="002F6A64"/>
    <w:rsid w:val="002F6A90"/>
    <w:rsid w:val="002F6C9B"/>
    <w:rsid w:val="002F6D88"/>
    <w:rsid w:val="002F6EE3"/>
    <w:rsid w:val="002F78F7"/>
    <w:rsid w:val="002F799E"/>
    <w:rsid w:val="002F7BB3"/>
    <w:rsid w:val="002F7FD6"/>
    <w:rsid w:val="003003B8"/>
    <w:rsid w:val="00300574"/>
    <w:rsid w:val="003008A9"/>
    <w:rsid w:val="00300D14"/>
    <w:rsid w:val="003010C1"/>
    <w:rsid w:val="003014EB"/>
    <w:rsid w:val="00301C08"/>
    <w:rsid w:val="00301CD2"/>
    <w:rsid w:val="00301DBB"/>
    <w:rsid w:val="00301E27"/>
    <w:rsid w:val="003026E3"/>
    <w:rsid w:val="00302B3B"/>
    <w:rsid w:val="00303373"/>
    <w:rsid w:val="0030345C"/>
    <w:rsid w:val="003042B8"/>
    <w:rsid w:val="003047BB"/>
    <w:rsid w:val="003047FE"/>
    <w:rsid w:val="00304C33"/>
    <w:rsid w:val="00305386"/>
    <w:rsid w:val="003053D8"/>
    <w:rsid w:val="0030582E"/>
    <w:rsid w:val="003060BA"/>
    <w:rsid w:val="003063CF"/>
    <w:rsid w:val="003063FE"/>
    <w:rsid w:val="0030665D"/>
    <w:rsid w:val="0030678C"/>
    <w:rsid w:val="00306823"/>
    <w:rsid w:val="00306A49"/>
    <w:rsid w:val="00306A9B"/>
    <w:rsid w:val="00306ADC"/>
    <w:rsid w:val="00306BFF"/>
    <w:rsid w:val="0030735B"/>
    <w:rsid w:val="003078A8"/>
    <w:rsid w:val="00307DF8"/>
    <w:rsid w:val="0031009F"/>
    <w:rsid w:val="003100B4"/>
    <w:rsid w:val="003100F9"/>
    <w:rsid w:val="003102D6"/>
    <w:rsid w:val="00310EB2"/>
    <w:rsid w:val="00311179"/>
    <w:rsid w:val="00311B7C"/>
    <w:rsid w:val="00311D96"/>
    <w:rsid w:val="003123F9"/>
    <w:rsid w:val="00312EE9"/>
    <w:rsid w:val="003130BE"/>
    <w:rsid w:val="00313174"/>
    <w:rsid w:val="00313200"/>
    <w:rsid w:val="00313601"/>
    <w:rsid w:val="00313907"/>
    <w:rsid w:val="00313B9E"/>
    <w:rsid w:val="00313D3A"/>
    <w:rsid w:val="00313EE4"/>
    <w:rsid w:val="003144DD"/>
    <w:rsid w:val="00314C81"/>
    <w:rsid w:val="00314DC8"/>
    <w:rsid w:val="0031548F"/>
    <w:rsid w:val="00315896"/>
    <w:rsid w:val="00315AB0"/>
    <w:rsid w:val="00315BCC"/>
    <w:rsid w:val="003160DE"/>
    <w:rsid w:val="00316EFC"/>
    <w:rsid w:val="00317B09"/>
    <w:rsid w:val="00317EDB"/>
    <w:rsid w:val="00317F5D"/>
    <w:rsid w:val="00317FE9"/>
    <w:rsid w:val="00320465"/>
    <w:rsid w:val="00320792"/>
    <w:rsid w:val="00320C4D"/>
    <w:rsid w:val="00320D75"/>
    <w:rsid w:val="003216C0"/>
    <w:rsid w:val="00321B0F"/>
    <w:rsid w:val="00321C66"/>
    <w:rsid w:val="00321FB7"/>
    <w:rsid w:val="00322854"/>
    <w:rsid w:val="00322AA1"/>
    <w:rsid w:val="0032329E"/>
    <w:rsid w:val="00323513"/>
    <w:rsid w:val="00323526"/>
    <w:rsid w:val="00323A7A"/>
    <w:rsid w:val="00323B4A"/>
    <w:rsid w:val="00323B59"/>
    <w:rsid w:val="00323CAA"/>
    <w:rsid w:val="00323E84"/>
    <w:rsid w:val="0032421C"/>
    <w:rsid w:val="003248BD"/>
    <w:rsid w:val="00325505"/>
    <w:rsid w:val="0032554B"/>
    <w:rsid w:val="003255CB"/>
    <w:rsid w:val="003256C0"/>
    <w:rsid w:val="0032580E"/>
    <w:rsid w:val="003258E9"/>
    <w:rsid w:val="003261BC"/>
    <w:rsid w:val="003265B0"/>
    <w:rsid w:val="003265F6"/>
    <w:rsid w:val="003269F9"/>
    <w:rsid w:val="00326C15"/>
    <w:rsid w:val="003278B9"/>
    <w:rsid w:val="00327F63"/>
    <w:rsid w:val="003307F9"/>
    <w:rsid w:val="003314CE"/>
    <w:rsid w:val="003316A5"/>
    <w:rsid w:val="00331849"/>
    <w:rsid w:val="00331DF8"/>
    <w:rsid w:val="00332061"/>
    <w:rsid w:val="00332866"/>
    <w:rsid w:val="003328F8"/>
    <w:rsid w:val="00332A17"/>
    <w:rsid w:val="00332AF3"/>
    <w:rsid w:val="00332BAC"/>
    <w:rsid w:val="00332F37"/>
    <w:rsid w:val="00333DEA"/>
    <w:rsid w:val="0033462C"/>
    <w:rsid w:val="0033488B"/>
    <w:rsid w:val="00334A27"/>
    <w:rsid w:val="00334CE6"/>
    <w:rsid w:val="00334E82"/>
    <w:rsid w:val="00335769"/>
    <w:rsid w:val="00335899"/>
    <w:rsid w:val="00335D34"/>
    <w:rsid w:val="003363C7"/>
    <w:rsid w:val="003375E7"/>
    <w:rsid w:val="00337B74"/>
    <w:rsid w:val="00337CD5"/>
    <w:rsid w:val="00340178"/>
    <w:rsid w:val="00340B1F"/>
    <w:rsid w:val="00340B43"/>
    <w:rsid w:val="00340CDB"/>
    <w:rsid w:val="00340F4D"/>
    <w:rsid w:val="00341130"/>
    <w:rsid w:val="00341C74"/>
    <w:rsid w:val="00341CCA"/>
    <w:rsid w:val="00342F60"/>
    <w:rsid w:val="003432F5"/>
    <w:rsid w:val="00343326"/>
    <w:rsid w:val="003437CC"/>
    <w:rsid w:val="00343980"/>
    <w:rsid w:val="00343DFC"/>
    <w:rsid w:val="00343EF6"/>
    <w:rsid w:val="00343F6F"/>
    <w:rsid w:val="0034435E"/>
    <w:rsid w:val="0034445F"/>
    <w:rsid w:val="0034448F"/>
    <w:rsid w:val="0034457A"/>
    <w:rsid w:val="003446B5"/>
    <w:rsid w:val="003446CB"/>
    <w:rsid w:val="003449B3"/>
    <w:rsid w:val="00345027"/>
    <w:rsid w:val="003458CB"/>
    <w:rsid w:val="00345F38"/>
    <w:rsid w:val="0034627E"/>
    <w:rsid w:val="003463AE"/>
    <w:rsid w:val="00346FCA"/>
    <w:rsid w:val="00347019"/>
    <w:rsid w:val="0034711D"/>
    <w:rsid w:val="00347178"/>
    <w:rsid w:val="003473A1"/>
    <w:rsid w:val="00350389"/>
    <w:rsid w:val="0035092B"/>
    <w:rsid w:val="00350B06"/>
    <w:rsid w:val="00350B25"/>
    <w:rsid w:val="00350EAC"/>
    <w:rsid w:val="003515F5"/>
    <w:rsid w:val="00351A24"/>
    <w:rsid w:val="00351ACC"/>
    <w:rsid w:val="00351CDC"/>
    <w:rsid w:val="00351E33"/>
    <w:rsid w:val="00352084"/>
    <w:rsid w:val="003523A7"/>
    <w:rsid w:val="00352906"/>
    <w:rsid w:val="00352B6C"/>
    <w:rsid w:val="00352FB4"/>
    <w:rsid w:val="0035352C"/>
    <w:rsid w:val="003538F5"/>
    <w:rsid w:val="003541BC"/>
    <w:rsid w:val="003544AA"/>
    <w:rsid w:val="003544B5"/>
    <w:rsid w:val="00354A4C"/>
    <w:rsid w:val="00354C5E"/>
    <w:rsid w:val="003554B0"/>
    <w:rsid w:val="00355B09"/>
    <w:rsid w:val="00355F36"/>
    <w:rsid w:val="00355F45"/>
    <w:rsid w:val="00356003"/>
    <w:rsid w:val="0035636D"/>
    <w:rsid w:val="00356854"/>
    <w:rsid w:val="00356C34"/>
    <w:rsid w:val="003573C0"/>
    <w:rsid w:val="0035753C"/>
    <w:rsid w:val="00357A63"/>
    <w:rsid w:val="00357C1D"/>
    <w:rsid w:val="00357C9D"/>
    <w:rsid w:val="003604C7"/>
    <w:rsid w:val="00360685"/>
    <w:rsid w:val="0036109C"/>
    <w:rsid w:val="00361581"/>
    <w:rsid w:val="00362367"/>
    <w:rsid w:val="00362799"/>
    <w:rsid w:val="00362848"/>
    <w:rsid w:val="0036298A"/>
    <w:rsid w:val="00362B28"/>
    <w:rsid w:val="0036311F"/>
    <w:rsid w:val="00363186"/>
    <w:rsid w:val="003635B0"/>
    <w:rsid w:val="0036368E"/>
    <w:rsid w:val="00363902"/>
    <w:rsid w:val="00364805"/>
    <w:rsid w:val="003648F3"/>
    <w:rsid w:val="00364CA3"/>
    <w:rsid w:val="00364DB8"/>
    <w:rsid w:val="00364DB9"/>
    <w:rsid w:val="00365734"/>
    <w:rsid w:val="00365B83"/>
    <w:rsid w:val="00365F1A"/>
    <w:rsid w:val="0036758C"/>
    <w:rsid w:val="00367666"/>
    <w:rsid w:val="0036768D"/>
    <w:rsid w:val="00367D35"/>
    <w:rsid w:val="00367E77"/>
    <w:rsid w:val="00367EFE"/>
    <w:rsid w:val="003709A8"/>
    <w:rsid w:val="00370AB6"/>
    <w:rsid w:val="00372190"/>
    <w:rsid w:val="00372531"/>
    <w:rsid w:val="00372962"/>
    <w:rsid w:val="003730C2"/>
    <w:rsid w:val="00373208"/>
    <w:rsid w:val="0037399D"/>
    <w:rsid w:val="00373B00"/>
    <w:rsid w:val="00373EDF"/>
    <w:rsid w:val="00373F4C"/>
    <w:rsid w:val="00373F7D"/>
    <w:rsid w:val="0037473B"/>
    <w:rsid w:val="003749C7"/>
    <w:rsid w:val="00374AC4"/>
    <w:rsid w:val="00374C55"/>
    <w:rsid w:val="00374FD2"/>
    <w:rsid w:val="00375394"/>
    <w:rsid w:val="00375434"/>
    <w:rsid w:val="00375856"/>
    <w:rsid w:val="003759F5"/>
    <w:rsid w:val="00375A74"/>
    <w:rsid w:val="00375C88"/>
    <w:rsid w:val="00375DA3"/>
    <w:rsid w:val="00375EBB"/>
    <w:rsid w:val="003760AF"/>
    <w:rsid w:val="00376461"/>
    <w:rsid w:val="0037670D"/>
    <w:rsid w:val="00376B12"/>
    <w:rsid w:val="00376DEF"/>
    <w:rsid w:val="00376F64"/>
    <w:rsid w:val="00376FBE"/>
    <w:rsid w:val="003771B1"/>
    <w:rsid w:val="00377463"/>
    <w:rsid w:val="00377808"/>
    <w:rsid w:val="00377F00"/>
    <w:rsid w:val="0038029E"/>
    <w:rsid w:val="00380B06"/>
    <w:rsid w:val="00380C7A"/>
    <w:rsid w:val="0038115B"/>
    <w:rsid w:val="00381233"/>
    <w:rsid w:val="00381309"/>
    <w:rsid w:val="00381678"/>
    <w:rsid w:val="00381878"/>
    <w:rsid w:val="00381C77"/>
    <w:rsid w:val="0038256C"/>
    <w:rsid w:val="00383C3A"/>
    <w:rsid w:val="00383D6F"/>
    <w:rsid w:val="003847D3"/>
    <w:rsid w:val="00384B2B"/>
    <w:rsid w:val="00385321"/>
    <w:rsid w:val="00385471"/>
    <w:rsid w:val="00386130"/>
    <w:rsid w:val="00386A9E"/>
    <w:rsid w:val="00387107"/>
    <w:rsid w:val="00387253"/>
    <w:rsid w:val="003873E8"/>
    <w:rsid w:val="00387724"/>
    <w:rsid w:val="003878BF"/>
    <w:rsid w:val="00387D02"/>
    <w:rsid w:val="00387EB2"/>
    <w:rsid w:val="0039036A"/>
    <w:rsid w:val="0039052E"/>
    <w:rsid w:val="00390A27"/>
    <w:rsid w:val="00390A90"/>
    <w:rsid w:val="00390AD1"/>
    <w:rsid w:val="00390C04"/>
    <w:rsid w:val="00390DBD"/>
    <w:rsid w:val="00391BF4"/>
    <w:rsid w:val="00391F6D"/>
    <w:rsid w:val="0039238D"/>
    <w:rsid w:val="003928DD"/>
    <w:rsid w:val="00392F09"/>
    <w:rsid w:val="00393815"/>
    <w:rsid w:val="0039395F"/>
    <w:rsid w:val="00393E8B"/>
    <w:rsid w:val="00393F60"/>
    <w:rsid w:val="00394191"/>
    <w:rsid w:val="003946AD"/>
    <w:rsid w:val="003951CD"/>
    <w:rsid w:val="00395D48"/>
    <w:rsid w:val="00395FD6"/>
    <w:rsid w:val="00396104"/>
    <w:rsid w:val="0039628C"/>
    <w:rsid w:val="003966F9"/>
    <w:rsid w:val="00396AD4"/>
    <w:rsid w:val="00396B98"/>
    <w:rsid w:val="00396C19"/>
    <w:rsid w:val="00397252"/>
    <w:rsid w:val="0039753D"/>
    <w:rsid w:val="00397610"/>
    <w:rsid w:val="00397702"/>
    <w:rsid w:val="00397CB1"/>
    <w:rsid w:val="00397E43"/>
    <w:rsid w:val="00397E78"/>
    <w:rsid w:val="003A0025"/>
    <w:rsid w:val="003A01D0"/>
    <w:rsid w:val="003A0231"/>
    <w:rsid w:val="003A0667"/>
    <w:rsid w:val="003A083D"/>
    <w:rsid w:val="003A08CA"/>
    <w:rsid w:val="003A143A"/>
    <w:rsid w:val="003A1DAC"/>
    <w:rsid w:val="003A2323"/>
    <w:rsid w:val="003A260F"/>
    <w:rsid w:val="003A2619"/>
    <w:rsid w:val="003A2B03"/>
    <w:rsid w:val="003A2B88"/>
    <w:rsid w:val="003A312D"/>
    <w:rsid w:val="003A32AF"/>
    <w:rsid w:val="003A35D9"/>
    <w:rsid w:val="003A360D"/>
    <w:rsid w:val="003A3669"/>
    <w:rsid w:val="003A3B54"/>
    <w:rsid w:val="003A3F05"/>
    <w:rsid w:val="003A403F"/>
    <w:rsid w:val="003A4469"/>
    <w:rsid w:val="003A4F18"/>
    <w:rsid w:val="003A5027"/>
    <w:rsid w:val="003A5100"/>
    <w:rsid w:val="003A55E7"/>
    <w:rsid w:val="003A5B97"/>
    <w:rsid w:val="003A6378"/>
    <w:rsid w:val="003A6F45"/>
    <w:rsid w:val="003A6F53"/>
    <w:rsid w:val="003A7594"/>
    <w:rsid w:val="003A75E7"/>
    <w:rsid w:val="003A7CAC"/>
    <w:rsid w:val="003B0495"/>
    <w:rsid w:val="003B0535"/>
    <w:rsid w:val="003B073E"/>
    <w:rsid w:val="003B0852"/>
    <w:rsid w:val="003B0991"/>
    <w:rsid w:val="003B0A69"/>
    <w:rsid w:val="003B111A"/>
    <w:rsid w:val="003B14AE"/>
    <w:rsid w:val="003B17A1"/>
    <w:rsid w:val="003B1B0F"/>
    <w:rsid w:val="003B1BFC"/>
    <w:rsid w:val="003B1E93"/>
    <w:rsid w:val="003B2534"/>
    <w:rsid w:val="003B2703"/>
    <w:rsid w:val="003B31FA"/>
    <w:rsid w:val="003B3BC1"/>
    <w:rsid w:val="003B3C60"/>
    <w:rsid w:val="003B3D3F"/>
    <w:rsid w:val="003B41A2"/>
    <w:rsid w:val="003B4463"/>
    <w:rsid w:val="003B4CB3"/>
    <w:rsid w:val="003B4E4C"/>
    <w:rsid w:val="003B4EDC"/>
    <w:rsid w:val="003B50E6"/>
    <w:rsid w:val="003B55EC"/>
    <w:rsid w:val="003B571B"/>
    <w:rsid w:val="003B58F5"/>
    <w:rsid w:val="003B5E20"/>
    <w:rsid w:val="003B66B5"/>
    <w:rsid w:val="003B6AFD"/>
    <w:rsid w:val="003B7524"/>
    <w:rsid w:val="003B7B09"/>
    <w:rsid w:val="003B7F05"/>
    <w:rsid w:val="003C035B"/>
    <w:rsid w:val="003C0EB0"/>
    <w:rsid w:val="003C1499"/>
    <w:rsid w:val="003C1619"/>
    <w:rsid w:val="003C1751"/>
    <w:rsid w:val="003C1831"/>
    <w:rsid w:val="003C19C8"/>
    <w:rsid w:val="003C1A28"/>
    <w:rsid w:val="003C1A2B"/>
    <w:rsid w:val="003C1A7A"/>
    <w:rsid w:val="003C215D"/>
    <w:rsid w:val="003C2195"/>
    <w:rsid w:val="003C22B8"/>
    <w:rsid w:val="003C26D5"/>
    <w:rsid w:val="003C2A4E"/>
    <w:rsid w:val="003C2D5E"/>
    <w:rsid w:val="003C3024"/>
    <w:rsid w:val="003C31AE"/>
    <w:rsid w:val="003C36C4"/>
    <w:rsid w:val="003C37C1"/>
    <w:rsid w:val="003C3C95"/>
    <w:rsid w:val="003C4491"/>
    <w:rsid w:val="003C4D0C"/>
    <w:rsid w:val="003C4DA2"/>
    <w:rsid w:val="003C528E"/>
    <w:rsid w:val="003C55ED"/>
    <w:rsid w:val="003C5BC5"/>
    <w:rsid w:val="003C5BEA"/>
    <w:rsid w:val="003C652F"/>
    <w:rsid w:val="003C69D5"/>
    <w:rsid w:val="003C6BBE"/>
    <w:rsid w:val="003C6C18"/>
    <w:rsid w:val="003C6D4C"/>
    <w:rsid w:val="003C6E75"/>
    <w:rsid w:val="003C7101"/>
    <w:rsid w:val="003C7382"/>
    <w:rsid w:val="003C7685"/>
    <w:rsid w:val="003C785F"/>
    <w:rsid w:val="003C7C26"/>
    <w:rsid w:val="003D0089"/>
    <w:rsid w:val="003D01AF"/>
    <w:rsid w:val="003D0B62"/>
    <w:rsid w:val="003D0ED7"/>
    <w:rsid w:val="003D14CB"/>
    <w:rsid w:val="003D16CF"/>
    <w:rsid w:val="003D1EDD"/>
    <w:rsid w:val="003D2155"/>
    <w:rsid w:val="003D2960"/>
    <w:rsid w:val="003D2F9A"/>
    <w:rsid w:val="003D33E4"/>
    <w:rsid w:val="003D37DB"/>
    <w:rsid w:val="003D3B91"/>
    <w:rsid w:val="003D3C09"/>
    <w:rsid w:val="003D3ED1"/>
    <w:rsid w:val="003D4032"/>
    <w:rsid w:val="003D40BA"/>
    <w:rsid w:val="003D44EC"/>
    <w:rsid w:val="003D4523"/>
    <w:rsid w:val="003D4987"/>
    <w:rsid w:val="003D4BFA"/>
    <w:rsid w:val="003D4DC9"/>
    <w:rsid w:val="003D4EBA"/>
    <w:rsid w:val="003D509C"/>
    <w:rsid w:val="003D58DB"/>
    <w:rsid w:val="003D598C"/>
    <w:rsid w:val="003D60EA"/>
    <w:rsid w:val="003D61BC"/>
    <w:rsid w:val="003D61C6"/>
    <w:rsid w:val="003D74E9"/>
    <w:rsid w:val="003D7D43"/>
    <w:rsid w:val="003D7FDE"/>
    <w:rsid w:val="003E001D"/>
    <w:rsid w:val="003E0136"/>
    <w:rsid w:val="003E088F"/>
    <w:rsid w:val="003E0A85"/>
    <w:rsid w:val="003E0AC2"/>
    <w:rsid w:val="003E0C42"/>
    <w:rsid w:val="003E0D7B"/>
    <w:rsid w:val="003E0F5E"/>
    <w:rsid w:val="003E1301"/>
    <w:rsid w:val="003E15A1"/>
    <w:rsid w:val="003E1B6F"/>
    <w:rsid w:val="003E1FC1"/>
    <w:rsid w:val="003E236D"/>
    <w:rsid w:val="003E24E6"/>
    <w:rsid w:val="003E29F1"/>
    <w:rsid w:val="003E2AED"/>
    <w:rsid w:val="003E2B4A"/>
    <w:rsid w:val="003E2CCD"/>
    <w:rsid w:val="003E2F10"/>
    <w:rsid w:val="003E301D"/>
    <w:rsid w:val="003E335F"/>
    <w:rsid w:val="003E3373"/>
    <w:rsid w:val="003E380F"/>
    <w:rsid w:val="003E3CB7"/>
    <w:rsid w:val="003E4291"/>
    <w:rsid w:val="003E4884"/>
    <w:rsid w:val="003E5740"/>
    <w:rsid w:val="003E5802"/>
    <w:rsid w:val="003E617D"/>
    <w:rsid w:val="003E658B"/>
    <w:rsid w:val="003E66A9"/>
    <w:rsid w:val="003E6957"/>
    <w:rsid w:val="003E6B9D"/>
    <w:rsid w:val="003E6D9D"/>
    <w:rsid w:val="003E6E1A"/>
    <w:rsid w:val="003E7698"/>
    <w:rsid w:val="003E78C2"/>
    <w:rsid w:val="003E7AF0"/>
    <w:rsid w:val="003E7F36"/>
    <w:rsid w:val="003F189B"/>
    <w:rsid w:val="003F1C2E"/>
    <w:rsid w:val="003F2391"/>
    <w:rsid w:val="003F25AC"/>
    <w:rsid w:val="003F2918"/>
    <w:rsid w:val="003F31AE"/>
    <w:rsid w:val="003F3418"/>
    <w:rsid w:val="003F36C9"/>
    <w:rsid w:val="003F38F4"/>
    <w:rsid w:val="003F41A5"/>
    <w:rsid w:val="003F449A"/>
    <w:rsid w:val="003F45F2"/>
    <w:rsid w:val="003F47BF"/>
    <w:rsid w:val="003F496B"/>
    <w:rsid w:val="003F5044"/>
    <w:rsid w:val="003F5495"/>
    <w:rsid w:val="003F65DF"/>
    <w:rsid w:val="003F66D9"/>
    <w:rsid w:val="003F6E92"/>
    <w:rsid w:val="003F7D08"/>
    <w:rsid w:val="0040021A"/>
    <w:rsid w:val="0040030F"/>
    <w:rsid w:val="00400AC1"/>
    <w:rsid w:val="00400D70"/>
    <w:rsid w:val="00400DBE"/>
    <w:rsid w:val="004011E7"/>
    <w:rsid w:val="00401B5B"/>
    <w:rsid w:val="00401E24"/>
    <w:rsid w:val="00401F72"/>
    <w:rsid w:val="00401F88"/>
    <w:rsid w:val="004027DA"/>
    <w:rsid w:val="00402C33"/>
    <w:rsid w:val="00402E8C"/>
    <w:rsid w:val="0040326C"/>
    <w:rsid w:val="0040343D"/>
    <w:rsid w:val="004037B8"/>
    <w:rsid w:val="00403D2A"/>
    <w:rsid w:val="00403F55"/>
    <w:rsid w:val="0040424E"/>
    <w:rsid w:val="004043C3"/>
    <w:rsid w:val="004048E4"/>
    <w:rsid w:val="00404BC5"/>
    <w:rsid w:val="0040514F"/>
    <w:rsid w:val="004059A3"/>
    <w:rsid w:val="00405D25"/>
    <w:rsid w:val="00405D3A"/>
    <w:rsid w:val="00406042"/>
    <w:rsid w:val="00406B55"/>
    <w:rsid w:val="004071E1"/>
    <w:rsid w:val="0040782E"/>
    <w:rsid w:val="004079DD"/>
    <w:rsid w:val="00407CE8"/>
    <w:rsid w:val="00410681"/>
    <w:rsid w:val="0041110E"/>
    <w:rsid w:val="004112C8"/>
    <w:rsid w:val="0041150E"/>
    <w:rsid w:val="0041172B"/>
    <w:rsid w:val="00411AB3"/>
    <w:rsid w:val="00411B91"/>
    <w:rsid w:val="00411F3F"/>
    <w:rsid w:val="0041206C"/>
    <w:rsid w:val="004120F1"/>
    <w:rsid w:val="00412271"/>
    <w:rsid w:val="00412BED"/>
    <w:rsid w:val="00412D85"/>
    <w:rsid w:val="00412E6B"/>
    <w:rsid w:val="004131B0"/>
    <w:rsid w:val="004131F2"/>
    <w:rsid w:val="00413282"/>
    <w:rsid w:val="004132ED"/>
    <w:rsid w:val="00413550"/>
    <w:rsid w:val="00413A15"/>
    <w:rsid w:val="00413CB9"/>
    <w:rsid w:val="004141D0"/>
    <w:rsid w:val="00414366"/>
    <w:rsid w:val="00414983"/>
    <w:rsid w:val="00415F82"/>
    <w:rsid w:val="00416281"/>
    <w:rsid w:val="004164CA"/>
    <w:rsid w:val="004164E4"/>
    <w:rsid w:val="004168C4"/>
    <w:rsid w:val="004169B4"/>
    <w:rsid w:val="00416B91"/>
    <w:rsid w:val="00417216"/>
    <w:rsid w:val="0041733C"/>
    <w:rsid w:val="00417513"/>
    <w:rsid w:val="0041760B"/>
    <w:rsid w:val="0041771B"/>
    <w:rsid w:val="00417AB4"/>
    <w:rsid w:val="00417FDC"/>
    <w:rsid w:val="004209FC"/>
    <w:rsid w:val="00420C7B"/>
    <w:rsid w:val="00420DB9"/>
    <w:rsid w:val="00421577"/>
    <w:rsid w:val="00421974"/>
    <w:rsid w:val="00421C60"/>
    <w:rsid w:val="00422843"/>
    <w:rsid w:val="00422E3D"/>
    <w:rsid w:val="004237B2"/>
    <w:rsid w:val="00423F86"/>
    <w:rsid w:val="00424BAE"/>
    <w:rsid w:val="00424F4D"/>
    <w:rsid w:val="0042612F"/>
    <w:rsid w:val="00426148"/>
    <w:rsid w:val="004266AF"/>
    <w:rsid w:val="00426E3A"/>
    <w:rsid w:val="00426E6E"/>
    <w:rsid w:val="004273E8"/>
    <w:rsid w:val="00430021"/>
    <w:rsid w:val="00430685"/>
    <w:rsid w:val="00430923"/>
    <w:rsid w:val="00430A7B"/>
    <w:rsid w:val="00430A80"/>
    <w:rsid w:val="00430AC0"/>
    <w:rsid w:val="00430B3C"/>
    <w:rsid w:val="00430ED9"/>
    <w:rsid w:val="004311F1"/>
    <w:rsid w:val="00431608"/>
    <w:rsid w:val="00431611"/>
    <w:rsid w:val="00431758"/>
    <w:rsid w:val="004317F4"/>
    <w:rsid w:val="00431954"/>
    <w:rsid w:val="00431BCE"/>
    <w:rsid w:val="00431DCB"/>
    <w:rsid w:val="00431FEE"/>
    <w:rsid w:val="004320D5"/>
    <w:rsid w:val="00432889"/>
    <w:rsid w:val="004328F5"/>
    <w:rsid w:val="00432F13"/>
    <w:rsid w:val="004330C7"/>
    <w:rsid w:val="0043326F"/>
    <w:rsid w:val="004332EB"/>
    <w:rsid w:val="0043351D"/>
    <w:rsid w:val="0043366E"/>
    <w:rsid w:val="004337C0"/>
    <w:rsid w:val="0043388F"/>
    <w:rsid w:val="00433A3D"/>
    <w:rsid w:val="00433B4F"/>
    <w:rsid w:val="00433BA2"/>
    <w:rsid w:val="004345B9"/>
    <w:rsid w:val="00434980"/>
    <w:rsid w:val="00434A2B"/>
    <w:rsid w:val="00434AEC"/>
    <w:rsid w:val="00434E8E"/>
    <w:rsid w:val="00434EC3"/>
    <w:rsid w:val="0043520E"/>
    <w:rsid w:val="00435495"/>
    <w:rsid w:val="0043566D"/>
    <w:rsid w:val="00435AF9"/>
    <w:rsid w:val="00435E21"/>
    <w:rsid w:val="0043616A"/>
    <w:rsid w:val="00436252"/>
    <w:rsid w:val="0043691D"/>
    <w:rsid w:val="00436A5E"/>
    <w:rsid w:val="00436E68"/>
    <w:rsid w:val="00436FBE"/>
    <w:rsid w:val="004370F5"/>
    <w:rsid w:val="004371F1"/>
    <w:rsid w:val="00437D2D"/>
    <w:rsid w:val="004400E6"/>
    <w:rsid w:val="00440113"/>
    <w:rsid w:val="00440352"/>
    <w:rsid w:val="00440764"/>
    <w:rsid w:val="00440962"/>
    <w:rsid w:val="00441EC7"/>
    <w:rsid w:val="00442018"/>
    <w:rsid w:val="00442105"/>
    <w:rsid w:val="00442C79"/>
    <w:rsid w:val="00443301"/>
    <w:rsid w:val="004435D6"/>
    <w:rsid w:val="00443711"/>
    <w:rsid w:val="00443DC3"/>
    <w:rsid w:val="00443EA6"/>
    <w:rsid w:val="00443ECE"/>
    <w:rsid w:val="00444180"/>
    <w:rsid w:val="004445B3"/>
    <w:rsid w:val="004446A8"/>
    <w:rsid w:val="00444F53"/>
    <w:rsid w:val="00447275"/>
    <w:rsid w:val="004473DD"/>
    <w:rsid w:val="0044746C"/>
    <w:rsid w:val="00447DC7"/>
    <w:rsid w:val="004500BE"/>
    <w:rsid w:val="004506CF"/>
    <w:rsid w:val="00450C6B"/>
    <w:rsid w:val="00450EF8"/>
    <w:rsid w:val="00450FF1"/>
    <w:rsid w:val="004510B9"/>
    <w:rsid w:val="00451573"/>
    <w:rsid w:val="00451A6B"/>
    <w:rsid w:val="00451AA1"/>
    <w:rsid w:val="00451B15"/>
    <w:rsid w:val="00451C3F"/>
    <w:rsid w:val="00451D3A"/>
    <w:rsid w:val="004522BB"/>
    <w:rsid w:val="004523E6"/>
    <w:rsid w:val="00452636"/>
    <w:rsid w:val="004527C1"/>
    <w:rsid w:val="00452FE7"/>
    <w:rsid w:val="00453AFA"/>
    <w:rsid w:val="00453CB2"/>
    <w:rsid w:val="00453DE7"/>
    <w:rsid w:val="00454041"/>
    <w:rsid w:val="0045428A"/>
    <w:rsid w:val="00454301"/>
    <w:rsid w:val="004543B3"/>
    <w:rsid w:val="00454748"/>
    <w:rsid w:val="00455498"/>
    <w:rsid w:val="004554DB"/>
    <w:rsid w:val="00455628"/>
    <w:rsid w:val="00455C35"/>
    <w:rsid w:val="00455C6B"/>
    <w:rsid w:val="00457036"/>
    <w:rsid w:val="004570BF"/>
    <w:rsid w:val="00457D91"/>
    <w:rsid w:val="00457E64"/>
    <w:rsid w:val="00460B8A"/>
    <w:rsid w:val="00460C39"/>
    <w:rsid w:val="00460DA6"/>
    <w:rsid w:val="00460F2B"/>
    <w:rsid w:val="00461088"/>
    <w:rsid w:val="004610D7"/>
    <w:rsid w:val="00461351"/>
    <w:rsid w:val="00461488"/>
    <w:rsid w:val="00461976"/>
    <w:rsid w:val="00461B32"/>
    <w:rsid w:val="00461E8A"/>
    <w:rsid w:val="004620EC"/>
    <w:rsid w:val="0046245E"/>
    <w:rsid w:val="00462706"/>
    <w:rsid w:val="004630E8"/>
    <w:rsid w:val="00463119"/>
    <w:rsid w:val="004632A3"/>
    <w:rsid w:val="0046352C"/>
    <w:rsid w:val="00463595"/>
    <w:rsid w:val="004639FD"/>
    <w:rsid w:val="00463AEC"/>
    <w:rsid w:val="0046400C"/>
    <w:rsid w:val="00464D29"/>
    <w:rsid w:val="00464E84"/>
    <w:rsid w:val="0046535F"/>
    <w:rsid w:val="00465891"/>
    <w:rsid w:val="00465A0A"/>
    <w:rsid w:val="00465E12"/>
    <w:rsid w:val="00466389"/>
    <w:rsid w:val="00466519"/>
    <w:rsid w:val="0046653C"/>
    <w:rsid w:val="00466BE8"/>
    <w:rsid w:val="004676CC"/>
    <w:rsid w:val="00467D98"/>
    <w:rsid w:val="00467DC9"/>
    <w:rsid w:val="00470DAE"/>
    <w:rsid w:val="00470DFE"/>
    <w:rsid w:val="00470E71"/>
    <w:rsid w:val="004710D0"/>
    <w:rsid w:val="00471568"/>
    <w:rsid w:val="00471681"/>
    <w:rsid w:val="00471923"/>
    <w:rsid w:val="00471A2E"/>
    <w:rsid w:val="00472663"/>
    <w:rsid w:val="004733DE"/>
    <w:rsid w:val="00473420"/>
    <w:rsid w:val="00473ACB"/>
    <w:rsid w:val="00473F18"/>
    <w:rsid w:val="00473F41"/>
    <w:rsid w:val="00474D88"/>
    <w:rsid w:val="00474DEA"/>
    <w:rsid w:val="00474EC1"/>
    <w:rsid w:val="00474FD7"/>
    <w:rsid w:val="00475749"/>
    <w:rsid w:val="0047587B"/>
    <w:rsid w:val="004759ED"/>
    <w:rsid w:val="00475A8D"/>
    <w:rsid w:val="00475F6C"/>
    <w:rsid w:val="0047680F"/>
    <w:rsid w:val="00476923"/>
    <w:rsid w:val="00476B6E"/>
    <w:rsid w:val="00476BDB"/>
    <w:rsid w:val="00476C33"/>
    <w:rsid w:val="00476CD8"/>
    <w:rsid w:val="0047700F"/>
    <w:rsid w:val="0047711B"/>
    <w:rsid w:val="00477841"/>
    <w:rsid w:val="00477C66"/>
    <w:rsid w:val="00477D21"/>
    <w:rsid w:val="00480179"/>
    <w:rsid w:val="004803B9"/>
    <w:rsid w:val="00480431"/>
    <w:rsid w:val="00480A46"/>
    <w:rsid w:val="0048108D"/>
    <w:rsid w:val="004818CC"/>
    <w:rsid w:val="00481A8F"/>
    <w:rsid w:val="00481CBA"/>
    <w:rsid w:val="0048206C"/>
    <w:rsid w:val="00482721"/>
    <w:rsid w:val="0048336D"/>
    <w:rsid w:val="00483540"/>
    <w:rsid w:val="004839A6"/>
    <w:rsid w:val="00483D49"/>
    <w:rsid w:val="004841E0"/>
    <w:rsid w:val="004847F5"/>
    <w:rsid w:val="00484CE2"/>
    <w:rsid w:val="00484F25"/>
    <w:rsid w:val="00485617"/>
    <w:rsid w:val="00486636"/>
    <w:rsid w:val="0048755B"/>
    <w:rsid w:val="004877D3"/>
    <w:rsid w:val="00487825"/>
    <w:rsid w:val="0048797F"/>
    <w:rsid w:val="00487A67"/>
    <w:rsid w:val="00487DE5"/>
    <w:rsid w:val="00490181"/>
    <w:rsid w:val="0049098A"/>
    <w:rsid w:val="00490E6D"/>
    <w:rsid w:val="00490FF9"/>
    <w:rsid w:val="00491152"/>
    <w:rsid w:val="0049135A"/>
    <w:rsid w:val="004913E8"/>
    <w:rsid w:val="0049172B"/>
    <w:rsid w:val="00491ABA"/>
    <w:rsid w:val="00491CE4"/>
    <w:rsid w:val="00491F96"/>
    <w:rsid w:val="00492044"/>
    <w:rsid w:val="00492174"/>
    <w:rsid w:val="004922E2"/>
    <w:rsid w:val="00492893"/>
    <w:rsid w:val="00492A68"/>
    <w:rsid w:val="00492C26"/>
    <w:rsid w:val="00492C65"/>
    <w:rsid w:val="00492D38"/>
    <w:rsid w:val="00493074"/>
    <w:rsid w:val="00493084"/>
    <w:rsid w:val="0049363C"/>
    <w:rsid w:val="00493A1F"/>
    <w:rsid w:val="00493CA9"/>
    <w:rsid w:val="00493FC7"/>
    <w:rsid w:val="00494480"/>
    <w:rsid w:val="004946F5"/>
    <w:rsid w:val="004949A6"/>
    <w:rsid w:val="00494C69"/>
    <w:rsid w:val="00494FC3"/>
    <w:rsid w:val="004957D7"/>
    <w:rsid w:val="00495CB6"/>
    <w:rsid w:val="00495E3E"/>
    <w:rsid w:val="004965FD"/>
    <w:rsid w:val="004969FC"/>
    <w:rsid w:val="00496AC8"/>
    <w:rsid w:val="004975A8"/>
    <w:rsid w:val="00497D1C"/>
    <w:rsid w:val="00497E85"/>
    <w:rsid w:val="00497F3F"/>
    <w:rsid w:val="00497FCA"/>
    <w:rsid w:val="004A0053"/>
    <w:rsid w:val="004A02FD"/>
    <w:rsid w:val="004A0300"/>
    <w:rsid w:val="004A0330"/>
    <w:rsid w:val="004A0350"/>
    <w:rsid w:val="004A0BD9"/>
    <w:rsid w:val="004A0F3B"/>
    <w:rsid w:val="004A1378"/>
    <w:rsid w:val="004A1523"/>
    <w:rsid w:val="004A1B50"/>
    <w:rsid w:val="004A1E24"/>
    <w:rsid w:val="004A1E4A"/>
    <w:rsid w:val="004A1F6F"/>
    <w:rsid w:val="004A257E"/>
    <w:rsid w:val="004A2587"/>
    <w:rsid w:val="004A2C56"/>
    <w:rsid w:val="004A2C99"/>
    <w:rsid w:val="004A3161"/>
    <w:rsid w:val="004A35CA"/>
    <w:rsid w:val="004A3BF7"/>
    <w:rsid w:val="004A3C50"/>
    <w:rsid w:val="004A4F4A"/>
    <w:rsid w:val="004A520C"/>
    <w:rsid w:val="004A526A"/>
    <w:rsid w:val="004A55CD"/>
    <w:rsid w:val="004A586D"/>
    <w:rsid w:val="004A59D0"/>
    <w:rsid w:val="004A5E71"/>
    <w:rsid w:val="004A6301"/>
    <w:rsid w:val="004A67AB"/>
    <w:rsid w:val="004A68F3"/>
    <w:rsid w:val="004A6D61"/>
    <w:rsid w:val="004A7036"/>
    <w:rsid w:val="004A723B"/>
    <w:rsid w:val="004A7428"/>
    <w:rsid w:val="004A7483"/>
    <w:rsid w:val="004A74BD"/>
    <w:rsid w:val="004A79B4"/>
    <w:rsid w:val="004A7D80"/>
    <w:rsid w:val="004B01A8"/>
    <w:rsid w:val="004B0EB7"/>
    <w:rsid w:val="004B16DE"/>
    <w:rsid w:val="004B1A3C"/>
    <w:rsid w:val="004B1DB2"/>
    <w:rsid w:val="004B2842"/>
    <w:rsid w:val="004B2BF3"/>
    <w:rsid w:val="004B3659"/>
    <w:rsid w:val="004B3A4B"/>
    <w:rsid w:val="004B3BD6"/>
    <w:rsid w:val="004B3CE2"/>
    <w:rsid w:val="004B4562"/>
    <w:rsid w:val="004B4CB2"/>
    <w:rsid w:val="004B501D"/>
    <w:rsid w:val="004B5071"/>
    <w:rsid w:val="004B53FB"/>
    <w:rsid w:val="004B5736"/>
    <w:rsid w:val="004B62D5"/>
    <w:rsid w:val="004B6336"/>
    <w:rsid w:val="004B68DD"/>
    <w:rsid w:val="004B6FD2"/>
    <w:rsid w:val="004B7089"/>
    <w:rsid w:val="004B7449"/>
    <w:rsid w:val="004B7A11"/>
    <w:rsid w:val="004B7E50"/>
    <w:rsid w:val="004C0062"/>
    <w:rsid w:val="004C03CB"/>
    <w:rsid w:val="004C0718"/>
    <w:rsid w:val="004C0A14"/>
    <w:rsid w:val="004C0BF2"/>
    <w:rsid w:val="004C0C1F"/>
    <w:rsid w:val="004C0D2D"/>
    <w:rsid w:val="004C0F56"/>
    <w:rsid w:val="004C1897"/>
    <w:rsid w:val="004C1A58"/>
    <w:rsid w:val="004C1A91"/>
    <w:rsid w:val="004C1BEB"/>
    <w:rsid w:val="004C1FE6"/>
    <w:rsid w:val="004C201D"/>
    <w:rsid w:val="004C2105"/>
    <w:rsid w:val="004C21F9"/>
    <w:rsid w:val="004C220E"/>
    <w:rsid w:val="004C2474"/>
    <w:rsid w:val="004C3251"/>
    <w:rsid w:val="004C375B"/>
    <w:rsid w:val="004C3BB1"/>
    <w:rsid w:val="004C407A"/>
    <w:rsid w:val="004C4122"/>
    <w:rsid w:val="004C4353"/>
    <w:rsid w:val="004C4395"/>
    <w:rsid w:val="004C4BD4"/>
    <w:rsid w:val="004C550B"/>
    <w:rsid w:val="004C5641"/>
    <w:rsid w:val="004C59A5"/>
    <w:rsid w:val="004C5AD6"/>
    <w:rsid w:val="004C5D26"/>
    <w:rsid w:val="004C5F43"/>
    <w:rsid w:val="004C5F90"/>
    <w:rsid w:val="004C6562"/>
    <w:rsid w:val="004C6640"/>
    <w:rsid w:val="004C6A1A"/>
    <w:rsid w:val="004C6A47"/>
    <w:rsid w:val="004C6D14"/>
    <w:rsid w:val="004C71DD"/>
    <w:rsid w:val="004C78BA"/>
    <w:rsid w:val="004C7947"/>
    <w:rsid w:val="004D04C3"/>
    <w:rsid w:val="004D05ED"/>
    <w:rsid w:val="004D05FE"/>
    <w:rsid w:val="004D06BA"/>
    <w:rsid w:val="004D06C7"/>
    <w:rsid w:val="004D0D1B"/>
    <w:rsid w:val="004D14FF"/>
    <w:rsid w:val="004D1964"/>
    <w:rsid w:val="004D197B"/>
    <w:rsid w:val="004D1C72"/>
    <w:rsid w:val="004D247F"/>
    <w:rsid w:val="004D27BA"/>
    <w:rsid w:val="004D299A"/>
    <w:rsid w:val="004D2BD5"/>
    <w:rsid w:val="004D2D30"/>
    <w:rsid w:val="004D391A"/>
    <w:rsid w:val="004D3A27"/>
    <w:rsid w:val="004D45F8"/>
    <w:rsid w:val="004D55BF"/>
    <w:rsid w:val="004D60B7"/>
    <w:rsid w:val="004D65E2"/>
    <w:rsid w:val="004D67DE"/>
    <w:rsid w:val="004D6836"/>
    <w:rsid w:val="004D71A4"/>
    <w:rsid w:val="004D76CA"/>
    <w:rsid w:val="004D7B2E"/>
    <w:rsid w:val="004D7CEC"/>
    <w:rsid w:val="004D7E58"/>
    <w:rsid w:val="004E08DC"/>
    <w:rsid w:val="004E0957"/>
    <w:rsid w:val="004E0BC6"/>
    <w:rsid w:val="004E10CC"/>
    <w:rsid w:val="004E13C6"/>
    <w:rsid w:val="004E186B"/>
    <w:rsid w:val="004E1923"/>
    <w:rsid w:val="004E1A7B"/>
    <w:rsid w:val="004E1B79"/>
    <w:rsid w:val="004E1CCF"/>
    <w:rsid w:val="004E1F4B"/>
    <w:rsid w:val="004E1F4F"/>
    <w:rsid w:val="004E2B67"/>
    <w:rsid w:val="004E2EB9"/>
    <w:rsid w:val="004E3262"/>
    <w:rsid w:val="004E363D"/>
    <w:rsid w:val="004E38C0"/>
    <w:rsid w:val="004E3A48"/>
    <w:rsid w:val="004E3CB3"/>
    <w:rsid w:val="004E3FE2"/>
    <w:rsid w:val="004E4072"/>
    <w:rsid w:val="004E40E2"/>
    <w:rsid w:val="004E42C1"/>
    <w:rsid w:val="004E4A5D"/>
    <w:rsid w:val="004E4E9F"/>
    <w:rsid w:val="004E502E"/>
    <w:rsid w:val="004E527F"/>
    <w:rsid w:val="004E57EE"/>
    <w:rsid w:val="004E5831"/>
    <w:rsid w:val="004E5DD2"/>
    <w:rsid w:val="004E5E19"/>
    <w:rsid w:val="004E60B9"/>
    <w:rsid w:val="004E610F"/>
    <w:rsid w:val="004E6292"/>
    <w:rsid w:val="004E664E"/>
    <w:rsid w:val="004E683A"/>
    <w:rsid w:val="004E6961"/>
    <w:rsid w:val="004E69E7"/>
    <w:rsid w:val="004E7566"/>
    <w:rsid w:val="004E7A93"/>
    <w:rsid w:val="004E7B2C"/>
    <w:rsid w:val="004E7EAB"/>
    <w:rsid w:val="004F003F"/>
    <w:rsid w:val="004F00A7"/>
    <w:rsid w:val="004F07CD"/>
    <w:rsid w:val="004F0AA9"/>
    <w:rsid w:val="004F0F75"/>
    <w:rsid w:val="004F0FCE"/>
    <w:rsid w:val="004F1030"/>
    <w:rsid w:val="004F1340"/>
    <w:rsid w:val="004F1542"/>
    <w:rsid w:val="004F1952"/>
    <w:rsid w:val="004F1BA4"/>
    <w:rsid w:val="004F250D"/>
    <w:rsid w:val="004F2581"/>
    <w:rsid w:val="004F2632"/>
    <w:rsid w:val="004F2731"/>
    <w:rsid w:val="004F283C"/>
    <w:rsid w:val="004F2D0D"/>
    <w:rsid w:val="004F32D7"/>
    <w:rsid w:val="004F3A62"/>
    <w:rsid w:val="004F3D32"/>
    <w:rsid w:val="004F3E4B"/>
    <w:rsid w:val="004F3F1C"/>
    <w:rsid w:val="004F40E4"/>
    <w:rsid w:val="004F45E5"/>
    <w:rsid w:val="004F4861"/>
    <w:rsid w:val="004F4DA7"/>
    <w:rsid w:val="004F4DDA"/>
    <w:rsid w:val="004F530B"/>
    <w:rsid w:val="004F57D4"/>
    <w:rsid w:val="004F5B00"/>
    <w:rsid w:val="004F5DCE"/>
    <w:rsid w:val="004F5FC5"/>
    <w:rsid w:val="004F63C9"/>
    <w:rsid w:val="004F64D4"/>
    <w:rsid w:val="004F7277"/>
    <w:rsid w:val="004F75D2"/>
    <w:rsid w:val="005005DC"/>
    <w:rsid w:val="00500DC0"/>
    <w:rsid w:val="0050112E"/>
    <w:rsid w:val="00501163"/>
    <w:rsid w:val="005011FC"/>
    <w:rsid w:val="005024D8"/>
    <w:rsid w:val="00502E3E"/>
    <w:rsid w:val="005033CA"/>
    <w:rsid w:val="00503A13"/>
    <w:rsid w:val="005041A1"/>
    <w:rsid w:val="005044A9"/>
    <w:rsid w:val="005045BC"/>
    <w:rsid w:val="005049ED"/>
    <w:rsid w:val="00504B72"/>
    <w:rsid w:val="00504C44"/>
    <w:rsid w:val="00505681"/>
    <w:rsid w:val="0050587E"/>
    <w:rsid w:val="005059A0"/>
    <w:rsid w:val="00505ACC"/>
    <w:rsid w:val="00505D47"/>
    <w:rsid w:val="00505F19"/>
    <w:rsid w:val="0050646B"/>
    <w:rsid w:val="00506641"/>
    <w:rsid w:val="005069B7"/>
    <w:rsid w:val="0050718A"/>
    <w:rsid w:val="005077C2"/>
    <w:rsid w:val="00507E7C"/>
    <w:rsid w:val="005103D8"/>
    <w:rsid w:val="00510D16"/>
    <w:rsid w:val="005114FD"/>
    <w:rsid w:val="00511EE0"/>
    <w:rsid w:val="005122F2"/>
    <w:rsid w:val="0051235B"/>
    <w:rsid w:val="00512877"/>
    <w:rsid w:val="00512A89"/>
    <w:rsid w:val="00513320"/>
    <w:rsid w:val="005133A0"/>
    <w:rsid w:val="005133CA"/>
    <w:rsid w:val="00513709"/>
    <w:rsid w:val="005138F3"/>
    <w:rsid w:val="00513A15"/>
    <w:rsid w:val="00514411"/>
    <w:rsid w:val="00514440"/>
    <w:rsid w:val="00514D21"/>
    <w:rsid w:val="005153F8"/>
    <w:rsid w:val="00515668"/>
    <w:rsid w:val="00515682"/>
    <w:rsid w:val="00515A73"/>
    <w:rsid w:val="00515CAC"/>
    <w:rsid w:val="00516820"/>
    <w:rsid w:val="0051703E"/>
    <w:rsid w:val="005171DA"/>
    <w:rsid w:val="0051743D"/>
    <w:rsid w:val="00517492"/>
    <w:rsid w:val="00517694"/>
    <w:rsid w:val="00517F03"/>
    <w:rsid w:val="0052039C"/>
    <w:rsid w:val="00520835"/>
    <w:rsid w:val="005219B0"/>
    <w:rsid w:val="00521F96"/>
    <w:rsid w:val="005221F8"/>
    <w:rsid w:val="005224F8"/>
    <w:rsid w:val="005227F7"/>
    <w:rsid w:val="00522B4C"/>
    <w:rsid w:val="0052311B"/>
    <w:rsid w:val="00523246"/>
    <w:rsid w:val="00523396"/>
    <w:rsid w:val="005236D7"/>
    <w:rsid w:val="00523810"/>
    <w:rsid w:val="00523839"/>
    <w:rsid w:val="00523A84"/>
    <w:rsid w:val="00523CC1"/>
    <w:rsid w:val="00523F38"/>
    <w:rsid w:val="00524196"/>
    <w:rsid w:val="005244BF"/>
    <w:rsid w:val="005247A1"/>
    <w:rsid w:val="00524ABE"/>
    <w:rsid w:val="00524E97"/>
    <w:rsid w:val="00524F59"/>
    <w:rsid w:val="00525103"/>
    <w:rsid w:val="00525447"/>
    <w:rsid w:val="0052554A"/>
    <w:rsid w:val="0052557A"/>
    <w:rsid w:val="00525635"/>
    <w:rsid w:val="00525641"/>
    <w:rsid w:val="00525685"/>
    <w:rsid w:val="00525A65"/>
    <w:rsid w:val="00525EFB"/>
    <w:rsid w:val="005261EE"/>
    <w:rsid w:val="00526A63"/>
    <w:rsid w:val="00526AD7"/>
    <w:rsid w:val="00526BBB"/>
    <w:rsid w:val="0052795A"/>
    <w:rsid w:val="00527B45"/>
    <w:rsid w:val="00527F6A"/>
    <w:rsid w:val="00527F7B"/>
    <w:rsid w:val="0053005A"/>
    <w:rsid w:val="005303EF"/>
    <w:rsid w:val="0053098C"/>
    <w:rsid w:val="00530A3C"/>
    <w:rsid w:val="00530B10"/>
    <w:rsid w:val="00530E37"/>
    <w:rsid w:val="005313D6"/>
    <w:rsid w:val="00531BC6"/>
    <w:rsid w:val="00531C5B"/>
    <w:rsid w:val="00532344"/>
    <w:rsid w:val="00532C00"/>
    <w:rsid w:val="00533384"/>
    <w:rsid w:val="00533424"/>
    <w:rsid w:val="005335F8"/>
    <w:rsid w:val="00533806"/>
    <w:rsid w:val="00533D9F"/>
    <w:rsid w:val="00534238"/>
    <w:rsid w:val="0053476D"/>
    <w:rsid w:val="005349D7"/>
    <w:rsid w:val="00535256"/>
    <w:rsid w:val="0053545C"/>
    <w:rsid w:val="005355F8"/>
    <w:rsid w:val="00535A2A"/>
    <w:rsid w:val="00536053"/>
    <w:rsid w:val="005369F5"/>
    <w:rsid w:val="00536A52"/>
    <w:rsid w:val="00536CCE"/>
    <w:rsid w:val="00536E60"/>
    <w:rsid w:val="005375A7"/>
    <w:rsid w:val="0053769B"/>
    <w:rsid w:val="005378F4"/>
    <w:rsid w:val="00537E18"/>
    <w:rsid w:val="00540A57"/>
    <w:rsid w:val="00540AC0"/>
    <w:rsid w:val="00540D62"/>
    <w:rsid w:val="00540F34"/>
    <w:rsid w:val="00541191"/>
    <w:rsid w:val="0054143F"/>
    <w:rsid w:val="00542242"/>
    <w:rsid w:val="00542339"/>
    <w:rsid w:val="005424A3"/>
    <w:rsid w:val="00542C5D"/>
    <w:rsid w:val="00542EC0"/>
    <w:rsid w:val="0054332E"/>
    <w:rsid w:val="00543726"/>
    <w:rsid w:val="005437CC"/>
    <w:rsid w:val="0054403E"/>
    <w:rsid w:val="00544B09"/>
    <w:rsid w:val="00544DDD"/>
    <w:rsid w:val="00544EEB"/>
    <w:rsid w:val="00546224"/>
    <w:rsid w:val="005463AB"/>
    <w:rsid w:val="005464BA"/>
    <w:rsid w:val="00546545"/>
    <w:rsid w:val="00547121"/>
    <w:rsid w:val="0054737C"/>
    <w:rsid w:val="00547541"/>
    <w:rsid w:val="005479BE"/>
    <w:rsid w:val="00547EE0"/>
    <w:rsid w:val="00547F60"/>
    <w:rsid w:val="00550152"/>
    <w:rsid w:val="00550670"/>
    <w:rsid w:val="00550840"/>
    <w:rsid w:val="005508F9"/>
    <w:rsid w:val="00550C3C"/>
    <w:rsid w:val="00550E7F"/>
    <w:rsid w:val="00550EBE"/>
    <w:rsid w:val="0055115C"/>
    <w:rsid w:val="005514FC"/>
    <w:rsid w:val="0055154E"/>
    <w:rsid w:val="0055166A"/>
    <w:rsid w:val="00551803"/>
    <w:rsid w:val="00551968"/>
    <w:rsid w:val="00551AD9"/>
    <w:rsid w:val="005521F2"/>
    <w:rsid w:val="00553321"/>
    <w:rsid w:val="00553608"/>
    <w:rsid w:val="005536B7"/>
    <w:rsid w:val="00553828"/>
    <w:rsid w:val="00553D16"/>
    <w:rsid w:val="0055421B"/>
    <w:rsid w:val="00554B35"/>
    <w:rsid w:val="0055502C"/>
    <w:rsid w:val="0055555B"/>
    <w:rsid w:val="00555BB4"/>
    <w:rsid w:val="00555BD4"/>
    <w:rsid w:val="00555DC6"/>
    <w:rsid w:val="00556183"/>
    <w:rsid w:val="005562B8"/>
    <w:rsid w:val="0055727D"/>
    <w:rsid w:val="00557559"/>
    <w:rsid w:val="0055764F"/>
    <w:rsid w:val="005578ED"/>
    <w:rsid w:val="00557B82"/>
    <w:rsid w:val="00557E0A"/>
    <w:rsid w:val="00560035"/>
    <w:rsid w:val="00560265"/>
    <w:rsid w:val="0056069B"/>
    <w:rsid w:val="005606A9"/>
    <w:rsid w:val="00560D0A"/>
    <w:rsid w:val="00560DE5"/>
    <w:rsid w:val="00561265"/>
    <w:rsid w:val="00561386"/>
    <w:rsid w:val="00561596"/>
    <w:rsid w:val="00561C96"/>
    <w:rsid w:val="00561CD5"/>
    <w:rsid w:val="005622A8"/>
    <w:rsid w:val="005626F0"/>
    <w:rsid w:val="00562823"/>
    <w:rsid w:val="00562C4E"/>
    <w:rsid w:val="00562FCD"/>
    <w:rsid w:val="00563672"/>
    <w:rsid w:val="00563C1D"/>
    <w:rsid w:val="00563ECB"/>
    <w:rsid w:val="005645CC"/>
    <w:rsid w:val="00564A17"/>
    <w:rsid w:val="00564DCE"/>
    <w:rsid w:val="00564EA6"/>
    <w:rsid w:val="00565A84"/>
    <w:rsid w:val="00565E44"/>
    <w:rsid w:val="00565F42"/>
    <w:rsid w:val="005661E1"/>
    <w:rsid w:val="0056629E"/>
    <w:rsid w:val="005662A3"/>
    <w:rsid w:val="00566D01"/>
    <w:rsid w:val="00567395"/>
    <w:rsid w:val="005673AA"/>
    <w:rsid w:val="00567515"/>
    <w:rsid w:val="00567915"/>
    <w:rsid w:val="00567973"/>
    <w:rsid w:val="00567A4B"/>
    <w:rsid w:val="00567BE3"/>
    <w:rsid w:val="00567FC6"/>
    <w:rsid w:val="0057005A"/>
    <w:rsid w:val="00570072"/>
    <w:rsid w:val="00570477"/>
    <w:rsid w:val="00570478"/>
    <w:rsid w:val="00570500"/>
    <w:rsid w:val="00570681"/>
    <w:rsid w:val="00570ACA"/>
    <w:rsid w:val="00570FC6"/>
    <w:rsid w:val="00571073"/>
    <w:rsid w:val="00571743"/>
    <w:rsid w:val="00571964"/>
    <w:rsid w:val="00571CE7"/>
    <w:rsid w:val="005720F0"/>
    <w:rsid w:val="005721F1"/>
    <w:rsid w:val="005728C3"/>
    <w:rsid w:val="0057293C"/>
    <w:rsid w:val="00572F47"/>
    <w:rsid w:val="00572F6A"/>
    <w:rsid w:val="00573230"/>
    <w:rsid w:val="0057343A"/>
    <w:rsid w:val="00573EE4"/>
    <w:rsid w:val="0057407F"/>
    <w:rsid w:val="00574215"/>
    <w:rsid w:val="00574B22"/>
    <w:rsid w:val="00574D08"/>
    <w:rsid w:val="00574F1B"/>
    <w:rsid w:val="00574F58"/>
    <w:rsid w:val="0057573D"/>
    <w:rsid w:val="00575D58"/>
    <w:rsid w:val="00576E74"/>
    <w:rsid w:val="0057721A"/>
    <w:rsid w:val="00577ACA"/>
    <w:rsid w:val="00577AEF"/>
    <w:rsid w:val="00580183"/>
    <w:rsid w:val="005802EE"/>
    <w:rsid w:val="00580800"/>
    <w:rsid w:val="005809ED"/>
    <w:rsid w:val="00580A0E"/>
    <w:rsid w:val="00580A20"/>
    <w:rsid w:val="00580D1F"/>
    <w:rsid w:val="00580F1D"/>
    <w:rsid w:val="0058200F"/>
    <w:rsid w:val="0058216F"/>
    <w:rsid w:val="0058250C"/>
    <w:rsid w:val="0058255F"/>
    <w:rsid w:val="0058343F"/>
    <w:rsid w:val="005834C1"/>
    <w:rsid w:val="005834D4"/>
    <w:rsid w:val="005836F0"/>
    <w:rsid w:val="005840B7"/>
    <w:rsid w:val="005840DD"/>
    <w:rsid w:val="00584EEE"/>
    <w:rsid w:val="00585209"/>
    <w:rsid w:val="005861D3"/>
    <w:rsid w:val="0058621C"/>
    <w:rsid w:val="005867FC"/>
    <w:rsid w:val="00586AB2"/>
    <w:rsid w:val="00587154"/>
    <w:rsid w:val="00587B6F"/>
    <w:rsid w:val="00587F6E"/>
    <w:rsid w:val="0059021D"/>
    <w:rsid w:val="005903CA"/>
    <w:rsid w:val="00590886"/>
    <w:rsid w:val="00590F1B"/>
    <w:rsid w:val="00591044"/>
    <w:rsid w:val="005911C8"/>
    <w:rsid w:val="00591590"/>
    <w:rsid w:val="00591F07"/>
    <w:rsid w:val="005920CE"/>
    <w:rsid w:val="00592C89"/>
    <w:rsid w:val="00593217"/>
    <w:rsid w:val="00593574"/>
    <w:rsid w:val="00593B06"/>
    <w:rsid w:val="00593B4E"/>
    <w:rsid w:val="00594788"/>
    <w:rsid w:val="005949A2"/>
    <w:rsid w:val="00594DF4"/>
    <w:rsid w:val="0059525A"/>
    <w:rsid w:val="0059534F"/>
    <w:rsid w:val="00595B9E"/>
    <w:rsid w:val="00595D89"/>
    <w:rsid w:val="00595E4F"/>
    <w:rsid w:val="005969A3"/>
    <w:rsid w:val="00596A70"/>
    <w:rsid w:val="00596BBD"/>
    <w:rsid w:val="00596EC4"/>
    <w:rsid w:val="00597144"/>
    <w:rsid w:val="0059721B"/>
    <w:rsid w:val="005978F8"/>
    <w:rsid w:val="00597A94"/>
    <w:rsid w:val="005A0034"/>
    <w:rsid w:val="005A004F"/>
    <w:rsid w:val="005A00AC"/>
    <w:rsid w:val="005A0191"/>
    <w:rsid w:val="005A08D1"/>
    <w:rsid w:val="005A0DD6"/>
    <w:rsid w:val="005A0FBC"/>
    <w:rsid w:val="005A11B3"/>
    <w:rsid w:val="005A1EF6"/>
    <w:rsid w:val="005A223F"/>
    <w:rsid w:val="005A26A5"/>
    <w:rsid w:val="005A323C"/>
    <w:rsid w:val="005A3A37"/>
    <w:rsid w:val="005A4065"/>
    <w:rsid w:val="005A4B2B"/>
    <w:rsid w:val="005A4D52"/>
    <w:rsid w:val="005A4F6B"/>
    <w:rsid w:val="005A4FCF"/>
    <w:rsid w:val="005A5288"/>
    <w:rsid w:val="005A5B11"/>
    <w:rsid w:val="005A5C6A"/>
    <w:rsid w:val="005A5CA2"/>
    <w:rsid w:val="005A5D49"/>
    <w:rsid w:val="005A5E9A"/>
    <w:rsid w:val="005A6931"/>
    <w:rsid w:val="005A6AC4"/>
    <w:rsid w:val="005A6FA1"/>
    <w:rsid w:val="005A709A"/>
    <w:rsid w:val="005A7986"/>
    <w:rsid w:val="005A7FD3"/>
    <w:rsid w:val="005B0088"/>
    <w:rsid w:val="005B061A"/>
    <w:rsid w:val="005B0C28"/>
    <w:rsid w:val="005B0D43"/>
    <w:rsid w:val="005B0E7A"/>
    <w:rsid w:val="005B11D4"/>
    <w:rsid w:val="005B13D2"/>
    <w:rsid w:val="005B13E1"/>
    <w:rsid w:val="005B1516"/>
    <w:rsid w:val="005B1E17"/>
    <w:rsid w:val="005B2229"/>
    <w:rsid w:val="005B27CA"/>
    <w:rsid w:val="005B2D67"/>
    <w:rsid w:val="005B2E2B"/>
    <w:rsid w:val="005B333C"/>
    <w:rsid w:val="005B34D7"/>
    <w:rsid w:val="005B39CB"/>
    <w:rsid w:val="005B4213"/>
    <w:rsid w:val="005B42C3"/>
    <w:rsid w:val="005B4AF1"/>
    <w:rsid w:val="005B4DEE"/>
    <w:rsid w:val="005B4E17"/>
    <w:rsid w:val="005B5835"/>
    <w:rsid w:val="005B617E"/>
    <w:rsid w:val="005B66B0"/>
    <w:rsid w:val="005B66B9"/>
    <w:rsid w:val="005B6823"/>
    <w:rsid w:val="005B76FF"/>
    <w:rsid w:val="005C00A8"/>
    <w:rsid w:val="005C0913"/>
    <w:rsid w:val="005C0D17"/>
    <w:rsid w:val="005C0E8A"/>
    <w:rsid w:val="005C1B41"/>
    <w:rsid w:val="005C1FB1"/>
    <w:rsid w:val="005C2287"/>
    <w:rsid w:val="005C2B7C"/>
    <w:rsid w:val="005C375A"/>
    <w:rsid w:val="005C39A6"/>
    <w:rsid w:val="005C3CE7"/>
    <w:rsid w:val="005C3F7A"/>
    <w:rsid w:val="005C455B"/>
    <w:rsid w:val="005C488C"/>
    <w:rsid w:val="005C4BC8"/>
    <w:rsid w:val="005C4D9A"/>
    <w:rsid w:val="005C4DDB"/>
    <w:rsid w:val="005C4EEA"/>
    <w:rsid w:val="005C5107"/>
    <w:rsid w:val="005C5572"/>
    <w:rsid w:val="005C5598"/>
    <w:rsid w:val="005C580C"/>
    <w:rsid w:val="005C5A8C"/>
    <w:rsid w:val="005C64A7"/>
    <w:rsid w:val="005C6522"/>
    <w:rsid w:val="005C6932"/>
    <w:rsid w:val="005C6958"/>
    <w:rsid w:val="005C6A25"/>
    <w:rsid w:val="005C6B9F"/>
    <w:rsid w:val="005C6FF8"/>
    <w:rsid w:val="005C72A6"/>
    <w:rsid w:val="005C75CB"/>
    <w:rsid w:val="005C7F32"/>
    <w:rsid w:val="005D0E85"/>
    <w:rsid w:val="005D0FB9"/>
    <w:rsid w:val="005D1032"/>
    <w:rsid w:val="005D139B"/>
    <w:rsid w:val="005D14EE"/>
    <w:rsid w:val="005D1783"/>
    <w:rsid w:val="005D1943"/>
    <w:rsid w:val="005D1D04"/>
    <w:rsid w:val="005D1D80"/>
    <w:rsid w:val="005D251A"/>
    <w:rsid w:val="005D25F1"/>
    <w:rsid w:val="005D260F"/>
    <w:rsid w:val="005D27CB"/>
    <w:rsid w:val="005D338C"/>
    <w:rsid w:val="005D3644"/>
    <w:rsid w:val="005D421B"/>
    <w:rsid w:val="005D43E1"/>
    <w:rsid w:val="005D4A30"/>
    <w:rsid w:val="005D4D12"/>
    <w:rsid w:val="005D531F"/>
    <w:rsid w:val="005D5498"/>
    <w:rsid w:val="005D5553"/>
    <w:rsid w:val="005D576F"/>
    <w:rsid w:val="005D5858"/>
    <w:rsid w:val="005D5CF8"/>
    <w:rsid w:val="005D63BC"/>
    <w:rsid w:val="005D6497"/>
    <w:rsid w:val="005D6CBF"/>
    <w:rsid w:val="005D6E4E"/>
    <w:rsid w:val="005D6FBF"/>
    <w:rsid w:val="005D7168"/>
    <w:rsid w:val="005D7320"/>
    <w:rsid w:val="005D757C"/>
    <w:rsid w:val="005D79CF"/>
    <w:rsid w:val="005D7B0C"/>
    <w:rsid w:val="005E0325"/>
    <w:rsid w:val="005E03F3"/>
    <w:rsid w:val="005E045F"/>
    <w:rsid w:val="005E0647"/>
    <w:rsid w:val="005E0706"/>
    <w:rsid w:val="005E0D99"/>
    <w:rsid w:val="005E0E11"/>
    <w:rsid w:val="005E0F9E"/>
    <w:rsid w:val="005E0FB6"/>
    <w:rsid w:val="005E1420"/>
    <w:rsid w:val="005E161C"/>
    <w:rsid w:val="005E1705"/>
    <w:rsid w:val="005E17B1"/>
    <w:rsid w:val="005E1A12"/>
    <w:rsid w:val="005E1B88"/>
    <w:rsid w:val="005E2428"/>
    <w:rsid w:val="005E33D8"/>
    <w:rsid w:val="005E3E2E"/>
    <w:rsid w:val="005E4198"/>
    <w:rsid w:val="005E433D"/>
    <w:rsid w:val="005E490E"/>
    <w:rsid w:val="005E4DD4"/>
    <w:rsid w:val="005E5938"/>
    <w:rsid w:val="005E5C6E"/>
    <w:rsid w:val="005E5EC0"/>
    <w:rsid w:val="005E5EE7"/>
    <w:rsid w:val="005E630D"/>
    <w:rsid w:val="005E669B"/>
    <w:rsid w:val="005E6C58"/>
    <w:rsid w:val="005E6D32"/>
    <w:rsid w:val="005E7011"/>
    <w:rsid w:val="005E7403"/>
    <w:rsid w:val="005E760A"/>
    <w:rsid w:val="005E7767"/>
    <w:rsid w:val="005E7D9B"/>
    <w:rsid w:val="005F047D"/>
    <w:rsid w:val="005F108B"/>
    <w:rsid w:val="005F1E55"/>
    <w:rsid w:val="005F253F"/>
    <w:rsid w:val="005F28ED"/>
    <w:rsid w:val="005F2989"/>
    <w:rsid w:val="005F308D"/>
    <w:rsid w:val="005F3551"/>
    <w:rsid w:val="005F36EC"/>
    <w:rsid w:val="005F378E"/>
    <w:rsid w:val="005F3BFA"/>
    <w:rsid w:val="005F43FE"/>
    <w:rsid w:val="005F4E9D"/>
    <w:rsid w:val="005F5074"/>
    <w:rsid w:val="005F51EE"/>
    <w:rsid w:val="005F5635"/>
    <w:rsid w:val="005F5978"/>
    <w:rsid w:val="005F59AC"/>
    <w:rsid w:val="005F5BC1"/>
    <w:rsid w:val="005F5D92"/>
    <w:rsid w:val="005F62D2"/>
    <w:rsid w:val="005F6522"/>
    <w:rsid w:val="005F6616"/>
    <w:rsid w:val="005F66CE"/>
    <w:rsid w:val="005F699F"/>
    <w:rsid w:val="005F6F45"/>
    <w:rsid w:val="005F7171"/>
    <w:rsid w:val="005F742F"/>
    <w:rsid w:val="005F76C9"/>
    <w:rsid w:val="005F7C1E"/>
    <w:rsid w:val="005F7F47"/>
    <w:rsid w:val="00600166"/>
    <w:rsid w:val="006006B8"/>
    <w:rsid w:val="006007C9"/>
    <w:rsid w:val="00600954"/>
    <w:rsid w:val="006009BA"/>
    <w:rsid w:val="00600B52"/>
    <w:rsid w:val="00600BBF"/>
    <w:rsid w:val="00600D38"/>
    <w:rsid w:val="00600D6D"/>
    <w:rsid w:val="0060105B"/>
    <w:rsid w:val="00601744"/>
    <w:rsid w:val="0060180F"/>
    <w:rsid w:val="006018D9"/>
    <w:rsid w:val="00601992"/>
    <w:rsid w:val="0060213F"/>
    <w:rsid w:val="00602657"/>
    <w:rsid w:val="00602C32"/>
    <w:rsid w:val="00603562"/>
    <w:rsid w:val="00603594"/>
    <w:rsid w:val="00603A3B"/>
    <w:rsid w:val="00603B65"/>
    <w:rsid w:val="00603BCB"/>
    <w:rsid w:val="00603D8C"/>
    <w:rsid w:val="006042BF"/>
    <w:rsid w:val="00604B3E"/>
    <w:rsid w:val="006050BF"/>
    <w:rsid w:val="00605AF7"/>
    <w:rsid w:val="00605DAD"/>
    <w:rsid w:val="00605DE4"/>
    <w:rsid w:val="00605E4E"/>
    <w:rsid w:val="006060BB"/>
    <w:rsid w:val="006065D8"/>
    <w:rsid w:val="00606850"/>
    <w:rsid w:val="00606EDB"/>
    <w:rsid w:val="00607B98"/>
    <w:rsid w:val="00610665"/>
    <w:rsid w:val="00610793"/>
    <w:rsid w:val="006108B5"/>
    <w:rsid w:val="00611338"/>
    <w:rsid w:val="0061190A"/>
    <w:rsid w:val="00611C4C"/>
    <w:rsid w:val="00611FA4"/>
    <w:rsid w:val="006120AF"/>
    <w:rsid w:val="006121E0"/>
    <w:rsid w:val="006122C5"/>
    <w:rsid w:val="006129A0"/>
    <w:rsid w:val="00612DD0"/>
    <w:rsid w:val="00612DEC"/>
    <w:rsid w:val="00612FDB"/>
    <w:rsid w:val="0061324B"/>
    <w:rsid w:val="006132F3"/>
    <w:rsid w:val="00613BF6"/>
    <w:rsid w:val="00613DEB"/>
    <w:rsid w:val="00613E61"/>
    <w:rsid w:val="006147AF"/>
    <w:rsid w:val="006148E0"/>
    <w:rsid w:val="00614C01"/>
    <w:rsid w:val="00614CB6"/>
    <w:rsid w:val="00614CEF"/>
    <w:rsid w:val="0061509D"/>
    <w:rsid w:val="00615516"/>
    <w:rsid w:val="0061555A"/>
    <w:rsid w:val="006155B4"/>
    <w:rsid w:val="00615651"/>
    <w:rsid w:val="006157C4"/>
    <w:rsid w:val="00615F44"/>
    <w:rsid w:val="006161EF"/>
    <w:rsid w:val="00616324"/>
    <w:rsid w:val="00616C5C"/>
    <w:rsid w:val="00616D39"/>
    <w:rsid w:val="0061794A"/>
    <w:rsid w:val="00617A89"/>
    <w:rsid w:val="00620883"/>
    <w:rsid w:val="00620AFC"/>
    <w:rsid w:val="00620EBF"/>
    <w:rsid w:val="00620F2E"/>
    <w:rsid w:val="00620F4E"/>
    <w:rsid w:val="00621275"/>
    <w:rsid w:val="00621793"/>
    <w:rsid w:val="00621879"/>
    <w:rsid w:val="006222CF"/>
    <w:rsid w:val="00622450"/>
    <w:rsid w:val="00622581"/>
    <w:rsid w:val="006227AB"/>
    <w:rsid w:val="006229FA"/>
    <w:rsid w:val="00622AAC"/>
    <w:rsid w:val="00622D46"/>
    <w:rsid w:val="00623481"/>
    <w:rsid w:val="00623761"/>
    <w:rsid w:val="00623AD7"/>
    <w:rsid w:val="00623D09"/>
    <w:rsid w:val="0062402C"/>
    <w:rsid w:val="006240F8"/>
    <w:rsid w:val="0062452C"/>
    <w:rsid w:val="006247C0"/>
    <w:rsid w:val="0062480D"/>
    <w:rsid w:val="006254C4"/>
    <w:rsid w:val="00625539"/>
    <w:rsid w:val="00625652"/>
    <w:rsid w:val="006258A8"/>
    <w:rsid w:val="0062590C"/>
    <w:rsid w:val="00625AB2"/>
    <w:rsid w:val="00625CD8"/>
    <w:rsid w:val="00625F2C"/>
    <w:rsid w:val="006260FF"/>
    <w:rsid w:val="00626DAF"/>
    <w:rsid w:val="0062775F"/>
    <w:rsid w:val="00627DB5"/>
    <w:rsid w:val="00630000"/>
    <w:rsid w:val="00631125"/>
    <w:rsid w:val="006315FD"/>
    <w:rsid w:val="00631E09"/>
    <w:rsid w:val="00631E90"/>
    <w:rsid w:val="00632220"/>
    <w:rsid w:val="00632289"/>
    <w:rsid w:val="00632CB7"/>
    <w:rsid w:val="00632DBD"/>
    <w:rsid w:val="00632E39"/>
    <w:rsid w:val="00633694"/>
    <w:rsid w:val="006337DE"/>
    <w:rsid w:val="006345AB"/>
    <w:rsid w:val="00635392"/>
    <w:rsid w:val="00635649"/>
    <w:rsid w:val="00635B5B"/>
    <w:rsid w:val="00635CE8"/>
    <w:rsid w:val="00635E54"/>
    <w:rsid w:val="0063646C"/>
    <w:rsid w:val="00636BF3"/>
    <w:rsid w:val="0063780B"/>
    <w:rsid w:val="00637855"/>
    <w:rsid w:val="0063793B"/>
    <w:rsid w:val="00637C7C"/>
    <w:rsid w:val="00637E08"/>
    <w:rsid w:val="00637F6E"/>
    <w:rsid w:val="00640031"/>
    <w:rsid w:val="0064004E"/>
    <w:rsid w:val="006403B4"/>
    <w:rsid w:val="00640AB4"/>
    <w:rsid w:val="0064145D"/>
    <w:rsid w:val="00641A29"/>
    <w:rsid w:val="00641E54"/>
    <w:rsid w:val="00642006"/>
    <w:rsid w:val="006420A9"/>
    <w:rsid w:val="006423BA"/>
    <w:rsid w:val="0064253E"/>
    <w:rsid w:val="006432DF"/>
    <w:rsid w:val="0064437F"/>
    <w:rsid w:val="00644B00"/>
    <w:rsid w:val="00644CA3"/>
    <w:rsid w:val="006458D0"/>
    <w:rsid w:val="00645A3C"/>
    <w:rsid w:val="00645BFF"/>
    <w:rsid w:val="0064661E"/>
    <w:rsid w:val="006467DB"/>
    <w:rsid w:val="00646C47"/>
    <w:rsid w:val="00647858"/>
    <w:rsid w:val="00647A02"/>
    <w:rsid w:val="00647A44"/>
    <w:rsid w:val="006500CD"/>
    <w:rsid w:val="0065060E"/>
    <w:rsid w:val="0065066A"/>
    <w:rsid w:val="00650768"/>
    <w:rsid w:val="006509F8"/>
    <w:rsid w:val="00650D81"/>
    <w:rsid w:val="0065101C"/>
    <w:rsid w:val="0065158A"/>
    <w:rsid w:val="00651B71"/>
    <w:rsid w:val="00651C4C"/>
    <w:rsid w:val="00652100"/>
    <w:rsid w:val="006523BE"/>
    <w:rsid w:val="006525EA"/>
    <w:rsid w:val="006527CB"/>
    <w:rsid w:val="00652F64"/>
    <w:rsid w:val="00653FB6"/>
    <w:rsid w:val="006540D5"/>
    <w:rsid w:val="006542D3"/>
    <w:rsid w:val="006551A4"/>
    <w:rsid w:val="0065527F"/>
    <w:rsid w:val="006552E0"/>
    <w:rsid w:val="006554FE"/>
    <w:rsid w:val="006555E2"/>
    <w:rsid w:val="006560D4"/>
    <w:rsid w:val="00656458"/>
    <w:rsid w:val="006564DC"/>
    <w:rsid w:val="00656980"/>
    <w:rsid w:val="0065699C"/>
    <w:rsid w:val="00656AB1"/>
    <w:rsid w:val="006573F2"/>
    <w:rsid w:val="00657815"/>
    <w:rsid w:val="00657A10"/>
    <w:rsid w:val="00660695"/>
    <w:rsid w:val="00660972"/>
    <w:rsid w:val="00660A4C"/>
    <w:rsid w:val="00660BAE"/>
    <w:rsid w:val="00660BB0"/>
    <w:rsid w:val="00661374"/>
    <w:rsid w:val="00661C1C"/>
    <w:rsid w:val="00661F0D"/>
    <w:rsid w:val="0066243F"/>
    <w:rsid w:val="006625F2"/>
    <w:rsid w:val="006627BC"/>
    <w:rsid w:val="006628CF"/>
    <w:rsid w:val="00662C29"/>
    <w:rsid w:val="0066351F"/>
    <w:rsid w:val="00663663"/>
    <w:rsid w:val="006637BA"/>
    <w:rsid w:val="00663A47"/>
    <w:rsid w:val="00663BFC"/>
    <w:rsid w:val="006644D1"/>
    <w:rsid w:val="00664B16"/>
    <w:rsid w:val="00664DEC"/>
    <w:rsid w:val="00665285"/>
    <w:rsid w:val="006652B6"/>
    <w:rsid w:val="0066552B"/>
    <w:rsid w:val="0066577A"/>
    <w:rsid w:val="006659E7"/>
    <w:rsid w:val="0066632C"/>
    <w:rsid w:val="006664A8"/>
    <w:rsid w:val="006666C5"/>
    <w:rsid w:val="00666987"/>
    <w:rsid w:val="006672B3"/>
    <w:rsid w:val="006676C6"/>
    <w:rsid w:val="006676FF"/>
    <w:rsid w:val="0066790A"/>
    <w:rsid w:val="00667D14"/>
    <w:rsid w:val="00667DE1"/>
    <w:rsid w:val="00667F92"/>
    <w:rsid w:val="00670335"/>
    <w:rsid w:val="00670648"/>
    <w:rsid w:val="006708AD"/>
    <w:rsid w:val="00670AFC"/>
    <w:rsid w:val="00670B5E"/>
    <w:rsid w:val="00670DBA"/>
    <w:rsid w:val="00670E88"/>
    <w:rsid w:val="00670F8F"/>
    <w:rsid w:val="00671688"/>
    <w:rsid w:val="006716EB"/>
    <w:rsid w:val="00672064"/>
    <w:rsid w:val="006720AE"/>
    <w:rsid w:val="006721D4"/>
    <w:rsid w:val="006723A0"/>
    <w:rsid w:val="006725D1"/>
    <w:rsid w:val="006727EC"/>
    <w:rsid w:val="00672AB2"/>
    <w:rsid w:val="00672FA7"/>
    <w:rsid w:val="0067322B"/>
    <w:rsid w:val="006736CB"/>
    <w:rsid w:val="006737F6"/>
    <w:rsid w:val="00673A06"/>
    <w:rsid w:val="00673D6C"/>
    <w:rsid w:val="00673DE4"/>
    <w:rsid w:val="006741E7"/>
    <w:rsid w:val="006742E2"/>
    <w:rsid w:val="0067466C"/>
    <w:rsid w:val="00674820"/>
    <w:rsid w:val="00674873"/>
    <w:rsid w:val="0067497D"/>
    <w:rsid w:val="00674990"/>
    <w:rsid w:val="00674A72"/>
    <w:rsid w:val="00674E94"/>
    <w:rsid w:val="00674FBF"/>
    <w:rsid w:val="006757D2"/>
    <w:rsid w:val="0067584F"/>
    <w:rsid w:val="00675856"/>
    <w:rsid w:val="006770FD"/>
    <w:rsid w:val="006774BD"/>
    <w:rsid w:val="006775F8"/>
    <w:rsid w:val="0067791B"/>
    <w:rsid w:val="00677CB6"/>
    <w:rsid w:val="00677DD1"/>
    <w:rsid w:val="00677DED"/>
    <w:rsid w:val="0068027A"/>
    <w:rsid w:val="00680976"/>
    <w:rsid w:val="00681500"/>
    <w:rsid w:val="0068169C"/>
    <w:rsid w:val="0068172B"/>
    <w:rsid w:val="006817A1"/>
    <w:rsid w:val="006817C5"/>
    <w:rsid w:val="00681B4C"/>
    <w:rsid w:val="00681EE0"/>
    <w:rsid w:val="006820ED"/>
    <w:rsid w:val="00682267"/>
    <w:rsid w:val="00682453"/>
    <w:rsid w:val="00682521"/>
    <w:rsid w:val="0068262B"/>
    <w:rsid w:val="00682D61"/>
    <w:rsid w:val="00682E50"/>
    <w:rsid w:val="00683150"/>
    <w:rsid w:val="006847C4"/>
    <w:rsid w:val="00684A02"/>
    <w:rsid w:val="00684FF7"/>
    <w:rsid w:val="00685267"/>
    <w:rsid w:val="00685B74"/>
    <w:rsid w:val="00686174"/>
    <w:rsid w:val="006864C8"/>
    <w:rsid w:val="0068679F"/>
    <w:rsid w:val="006869F6"/>
    <w:rsid w:val="00686D5F"/>
    <w:rsid w:val="006873C9"/>
    <w:rsid w:val="0069024A"/>
    <w:rsid w:val="00690C7E"/>
    <w:rsid w:val="00690E41"/>
    <w:rsid w:val="006915C0"/>
    <w:rsid w:val="00691C99"/>
    <w:rsid w:val="00691F39"/>
    <w:rsid w:val="006920CA"/>
    <w:rsid w:val="00692130"/>
    <w:rsid w:val="00692173"/>
    <w:rsid w:val="00692213"/>
    <w:rsid w:val="00692819"/>
    <w:rsid w:val="00692C4E"/>
    <w:rsid w:val="00693CC3"/>
    <w:rsid w:val="00693F6B"/>
    <w:rsid w:val="00694178"/>
    <w:rsid w:val="00694298"/>
    <w:rsid w:val="006944E2"/>
    <w:rsid w:val="00694967"/>
    <w:rsid w:val="00694C27"/>
    <w:rsid w:val="00694E7D"/>
    <w:rsid w:val="00694F54"/>
    <w:rsid w:val="00695014"/>
    <w:rsid w:val="00695028"/>
    <w:rsid w:val="006952A3"/>
    <w:rsid w:val="006955A2"/>
    <w:rsid w:val="00695928"/>
    <w:rsid w:val="00695A8B"/>
    <w:rsid w:val="00695D13"/>
    <w:rsid w:val="0069662F"/>
    <w:rsid w:val="00696E25"/>
    <w:rsid w:val="00697825"/>
    <w:rsid w:val="00697899"/>
    <w:rsid w:val="00697EAF"/>
    <w:rsid w:val="006A02E8"/>
    <w:rsid w:val="006A0561"/>
    <w:rsid w:val="006A091A"/>
    <w:rsid w:val="006A0F1F"/>
    <w:rsid w:val="006A0F71"/>
    <w:rsid w:val="006A0FD3"/>
    <w:rsid w:val="006A1190"/>
    <w:rsid w:val="006A136B"/>
    <w:rsid w:val="006A13EA"/>
    <w:rsid w:val="006A1454"/>
    <w:rsid w:val="006A1739"/>
    <w:rsid w:val="006A1E68"/>
    <w:rsid w:val="006A249D"/>
    <w:rsid w:val="006A24B6"/>
    <w:rsid w:val="006A27D7"/>
    <w:rsid w:val="006A31E1"/>
    <w:rsid w:val="006A39DA"/>
    <w:rsid w:val="006A39F1"/>
    <w:rsid w:val="006A3A2B"/>
    <w:rsid w:val="006A3A75"/>
    <w:rsid w:val="006A44E4"/>
    <w:rsid w:val="006A48B2"/>
    <w:rsid w:val="006A4B3E"/>
    <w:rsid w:val="006A505D"/>
    <w:rsid w:val="006A508A"/>
    <w:rsid w:val="006A563D"/>
    <w:rsid w:val="006A57D1"/>
    <w:rsid w:val="006A598C"/>
    <w:rsid w:val="006A5AEB"/>
    <w:rsid w:val="006A5D75"/>
    <w:rsid w:val="006A5F14"/>
    <w:rsid w:val="006A61C8"/>
    <w:rsid w:val="006A62FF"/>
    <w:rsid w:val="006A64BC"/>
    <w:rsid w:val="006A6F71"/>
    <w:rsid w:val="006A703C"/>
    <w:rsid w:val="006A7A42"/>
    <w:rsid w:val="006A7C7A"/>
    <w:rsid w:val="006B069A"/>
    <w:rsid w:val="006B0B4F"/>
    <w:rsid w:val="006B154E"/>
    <w:rsid w:val="006B166A"/>
    <w:rsid w:val="006B175D"/>
    <w:rsid w:val="006B17AE"/>
    <w:rsid w:val="006B1811"/>
    <w:rsid w:val="006B1C68"/>
    <w:rsid w:val="006B21F4"/>
    <w:rsid w:val="006B23F3"/>
    <w:rsid w:val="006B25F6"/>
    <w:rsid w:val="006B287C"/>
    <w:rsid w:val="006B2FF1"/>
    <w:rsid w:val="006B3591"/>
    <w:rsid w:val="006B3763"/>
    <w:rsid w:val="006B39EF"/>
    <w:rsid w:val="006B3BE4"/>
    <w:rsid w:val="006B4176"/>
    <w:rsid w:val="006B4364"/>
    <w:rsid w:val="006B446D"/>
    <w:rsid w:val="006B4525"/>
    <w:rsid w:val="006B5210"/>
    <w:rsid w:val="006B5AB2"/>
    <w:rsid w:val="006B5EF3"/>
    <w:rsid w:val="006B6002"/>
    <w:rsid w:val="006B6042"/>
    <w:rsid w:val="006B6145"/>
    <w:rsid w:val="006B6159"/>
    <w:rsid w:val="006B6873"/>
    <w:rsid w:val="006B7716"/>
    <w:rsid w:val="006B7862"/>
    <w:rsid w:val="006B7A71"/>
    <w:rsid w:val="006C006A"/>
    <w:rsid w:val="006C0104"/>
    <w:rsid w:val="006C09DC"/>
    <w:rsid w:val="006C0F5E"/>
    <w:rsid w:val="006C1147"/>
    <w:rsid w:val="006C1A9E"/>
    <w:rsid w:val="006C1FC1"/>
    <w:rsid w:val="006C2081"/>
    <w:rsid w:val="006C2C20"/>
    <w:rsid w:val="006C2C88"/>
    <w:rsid w:val="006C2F35"/>
    <w:rsid w:val="006C3730"/>
    <w:rsid w:val="006C3B13"/>
    <w:rsid w:val="006C3B6C"/>
    <w:rsid w:val="006C402E"/>
    <w:rsid w:val="006C441E"/>
    <w:rsid w:val="006C4C38"/>
    <w:rsid w:val="006C4EA7"/>
    <w:rsid w:val="006C519C"/>
    <w:rsid w:val="006C5272"/>
    <w:rsid w:val="006C58A6"/>
    <w:rsid w:val="006C609D"/>
    <w:rsid w:val="006C648B"/>
    <w:rsid w:val="006C6A13"/>
    <w:rsid w:val="006C6C0C"/>
    <w:rsid w:val="006C70C9"/>
    <w:rsid w:val="006C715E"/>
    <w:rsid w:val="006C7884"/>
    <w:rsid w:val="006C7F4D"/>
    <w:rsid w:val="006D03AD"/>
    <w:rsid w:val="006D044A"/>
    <w:rsid w:val="006D0EFF"/>
    <w:rsid w:val="006D18E5"/>
    <w:rsid w:val="006D1943"/>
    <w:rsid w:val="006D1A36"/>
    <w:rsid w:val="006D2555"/>
    <w:rsid w:val="006D2F4B"/>
    <w:rsid w:val="006D33BD"/>
    <w:rsid w:val="006D37FE"/>
    <w:rsid w:val="006D388F"/>
    <w:rsid w:val="006D423C"/>
    <w:rsid w:val="006D444E"/>
    <w:rsid w:val="006D45B9"/>
    <w:rsid w:val="006D4C51"/>
    <w:rsid w:val="006D4C54"/>
    <w:rsid w:val="006D5038"/>
    <w:rsid w:val="006D5713"/>
    <w:rsid w:val="006D5B7C"/>
    <w:rsid w:val="006D5E8B"/>
    <w:rsid w:val="006D60F6"/>
    <w:rsid w:val="006D6A13"/>
    <w:rsid w:val="006D7786"/>
    <w:rsid w:val="006D7C62"/>
    <w:rsid w:val="006D7DC8"/>
    <w:rsid w:val="006E059F"/>
    <w:rsid w:val="006E074F"/>
    <w:rsid w:val="006E08DD"/>
    <w:rsid w:val="006E0B02"/>
    <w:rsid w:val="006E0E05"/>
    <w:rsid w:val="006E1189"/>
    <w:rsid w:val="006E1233"/>
    <w:rsid w:val="006E14D7"/>
    <w:rsid w:val="006E1537"/>
    <w:rsid w:val="006E158B"/>
    <w:rsid w:val="006E15F9"/>
    <w:rsid w:val="006E19F0"/>
    <w:rsid w:val="006E1BD9"/>
    <w:rsid w:val="006E1DC2"/>
    <w:rsid w:val="006E2517"/>
    <w:rsid w:val="006E2663"/>
    <w:rsid w:val="006E26C4"/>
    <w:rsid w:val="006E2824"/>
    <w:rsid w:val="006E2ADF"/>
    <w:rsid w:val="006E2E1B"/>
    <w:rsid w:val="006E31D6"/>
    <w:rsid w:val="006E3288"/>
    <w:rsid w:val="006E345A"/>
    <w:rsid w:val="006E3895"/>
    <w:rsid w:val="006E39CB"/>
    <w:rsid w:val="006E3BD1"/>
    <w:rsid w:val="006E3E33"/>
    <w:rsid w:val="006E40B4"/>
    <w:rsid w:val="006E4561"/>
    <w:rsid w:val="006E4D2B"/>
    <w:rsid w:val="006E54DA"/>
    <w:rsid w:val="006E673D"/>
    <w:rsid w:val="006E6809"/>
    <w:rsid w:val="006E6A73"/>
    <w:rsid w:val="006E7631"/>
    <w:rsid w:val="006E76BB"/>
    <w:rsid w:val="006E7733"/>
    <w:rsid w:val="006E7763"/>
    <w:rsid w:val="006E796C"/>
    <w:rsid w:val="006F042B"/>
    <w:rsid w:val="006F15B8"/>
    <w:rsid w:val="006F1966"/>
    <w:rsid w:val="006F232C"/>
    <w:rsid w:val="006F24D3"/>
    <w:rsid w:val="006F26B1"/>
    <w:rsid w:val="006F290B"/>
    <w:rsid w:val="006F2A9F"/>
    <w:rsid w:val="006F2B5A"/>
    <w:rsid w:val="006F2E8C"/>
    <w:rsid w:val="006F302D"/>
    <w:rsid w:val="006F335B"/>
    <w:rsid w:val="006F3876"/>
    <w:rsid w:val="006F3EA2"/>
    <w:rsid w:val="006F408E"/>
    <w:rsid w:val="006F4096"/>
    <w:rsid w:val="006F44FD"/>
    <w:rsid w:val="006F46E9"/>
    <w:rsid w:val="006F4810"/>
    <w:rsid w:val="006F49C2"/>
    <w:rsid w:val="006F4A52"/>
    <w:rsid w:val="006F58E4"/>
    <w:rsid w:val="006F674B"/>
    <w:rsid w:val="006F6B24"/>
    <w:rsid w:val="006F6D0A"/>
    <w:rsid w:val="006F708C"/>
    <w:rsid w:val="006F751A"/>
    <w:rsid w:val="006F7AB3"/>
    <w:rsid w:val="007001B6"/>
    <w:rsid w:val="007004FA"/>
    <w:rsid w:val="0070057A"/>
    <w:rsid w:val="00700947"/>
    <w:rsid w:val="00700C9D"/>
    <w:rsid w:val="00700EC9"/>
    <w:rsid w:val="00701258"/>
    <w:rsid w:val="00701A51"/>
    <w:rsid w:val="00701E5C"/>
    <w:rsid w:val="0070262B"/>
    <w:rsid w:val="00702C28"/>
    <w:rsid w:val="00702CB2"/>
    <w:rsid w:val="0070315C"/>
    <w:rsid w:val="00703188"/>
    <w:rsid w:val="00703EBA"/>
    <w:rsid w:val="00704965"/>
    <w:rsid w:val="00704B7E"/>
    <w:rsid w:val="00704B92"/>
    <w:rsid w:val="00704BA7"/>
    <w:rsid w:val="007054E7"/>
    <w:rsid w:val="00705663"/>
    <w:rsid w:val="007059EA"/>
    <w:rsid w:val="00705C15"/>
    <w:rsid w:val="00705E31"/>
    <w:rsid w:val="00705EE0"/>
    <w:rsid w:val="007063B6"/>
    <w:rsid w:val="007065B8"/>
    <w:rsid w:val="00706B12"/>
    <w:rsid w:val="00706C4B"/>
    <w:rsid w:val="00706C99"/>
    <w:rsid w:val="00706D75"/>
    <w:rsid w:val="00707025"/>
    <w:rsid w:val="00707735"/>
    <w:rsid w:val="007078E3"/>
    <w:rsid w:val="0070793E"/>
    <w:rsid w:val="007104A7"/>
    <w:rsid w:val="0071055A"/>
    <w:rsid w:val="007105FE"/>
    <w:rsid w:val="00710685"/>
    <w:rsid w:val="0071089D"/>
    <w:rsid w:val="007108E1"/>
    <w:rsid w:val="0071093E"/>
    <w:rsid w:val="00710A4E"/>
    <w:rsid w:val="00710AC2"/>
    <w:rsid w:val="00710C65"/>
    <w:rsid w:val="00710F3A"/>
    <w:rsid w:val="007114EE"/>
    <w:rsid w:val="0071178A"/>
    <w:rsid w:val="00711C0B"/>
    <w:rsid w:val="007122DF"/>
    <w:rsid w:val="007125C5"/>
    <w:rsid w:val="00712A4A"/>
    <w:rsid w:val="00712A71"/>
    <w:rsid w:val="00712DF3"/>
    <w:rsid w:val="00712EAF"/>
    <w:rsid w:val="00712EB0"/>
    <w:rsid w:val="007133A0"/>
    <w:rsid w:val="0071365E"/>
    <w:rsid w:val="00713693"/>
    <w:rsid w:val="007136E5"/>
    <w:rsid w:val="007138A9"/>
    <w:rsid w:val="007141A1"/>
    <w:rsid w:val="0071462E"/>
    <w:rsid w:val="00714F67"/>
    <w:rsid w:val="00715345"/>
    <w:rsid w:val="00715363"/>
    <w:rsid w:val="00715384"/>
    <w:rsid w:val="007155A1"/>
    <w:rsid w:val="00715C97"/>
    <w:rsid w:val="00715D59"/>
    <w:rsid w:val="00715E2A"/>
    <w:rsid w:val="0071603E"/>
    <w:rsid w:val="0071679A"/>
    <w:rsid w:val="00716A99"/>
    <w:rsid w:val="00716E2A"/>
    <w:rsid w:val="00716E58"/>
    <w:rsid w:val="00717459"/>
    <w:rsid w:val="007174FE"/>
    <w:rsid w:val="00717856"/>
    <w:rsid w:val="00717A4C"/>
    <w:rsid w:val="00717CB8"/>
    <w:rsid w:val="00717E4C"/>
    <w:rsid w:val="00717E8C"/>
    <w:rsid w:val="0072004F"/>
    <w:rsid w:val="00720DA4"/>
    <w:rsid w:val="007210E7"/>
    <w:rsid w:val="0072115A"/>
    <w:rsid w:val="007212FA"/>
    <w:rsid w:val="007212FB"/>
    <w:rsid w:val="0072132C"/>
    <w:rsid w:val="0072190D"/>
    <w:rsid w:val="00721A14"/>
    <w:rsid w:val="00722148"/>
    <w:rsid w:val="00722343"/>
    <w:rsid w:val="00722839"/>
    <w:rsid w:val="00722E38"/>
    <w:rsid w:val="007231B1"/>
    <w:rsid w:val="00723437"/>
    <w:rsid w:val="007234FC"/>
    <w:rsid w:val="007235BE"/>
    <w:rsid w:val="00723F1A"/>
    <w:rsid w:val="00724421"/>
    <w:rsid w:val="007244C9"/>
    <w:rsid w:val="00724C6F"/>
    <w:rsid w:val="00724CA2"/>
    <w:rsid w:val="00724CD0"/>
    <w:rsid w:val="007253F5"/>
    <w:rsid w:val="00725A12"/>
    <w:rsid w:val="00725B6F"/>
    <w:rsid w:val="00725BA3"/>
    <w:rsid w:val="00726E26"/>
    <w:rsid w:val="0072765A"/>
    <w:rsid w:val="00727AFC"/>
    <w:rsid w:val="00727C7C"/>
    <w:rsid w:val="007300FA"/>
    <w:rsid w:val="007303AA"/>
    <w:rsid w:val="007306AF"/>
    <w:rsid w:val="00731373"/>
    <w:rsid w:val="007313D0"/>
    <w:rsid w:val="00731A45"/>
    <w:rsid w:val="007322BE"/>
    <w:rsid w:val="00732AF9"/>
    <w:rsid w:val="00732C54"/>
    <w:rsid w:val="00733178"/>
    <w:rsid w:val="00733734"/>
    <w:rsid w:val="00733BF2"/>
    <w:rsid w:val="00733C30"/>
    <w:rsid w:val="00734802"/>
    <w:rsid w:val="00734A00"/>
    <w:rsid w:val="00734A72"/>
    <w:rsid w:val="00734BA5"/>
    <w:rsid w:val="00734CF6"/>
    <w:rsid w:val="007351F2"/>
    <w:rsid w:val="0073524A"/>
    <w:rsid w:val="0073599C"/>
    <w:rsid w:val="00735BE6"/>
    <w:rsid w:val="00735C3B"/>
    <w:rsid w:val="00735C55"/>
    <w:rsid w:val="00736239"/>
    <w:rsid w:val="00736259"/>
    <w:rsid w:val="007368B0"/>
    <w:rsid w:val="00736F28"/>
    <w:rsid w:val="00737059"/>
    <w:rsid w:val="007373AB"/>
    <w:rsid w:val="007375D2"/>
    <w:rsid w:val="0073792B"/>
    <w:rsid w:val="00737A86"/>
    <w:rsid w:val="00737C1F"/>
    <w:rsid w:val="007401A1"/>
    <w:rsid w:val="0074065F"/>
    <w:rsid w:val="0074070D"/>
    <w:rsid w:val="00740B6F"/>
    <w:rsid w:val="00740CD8"/>
    <w:rsid w:val="007413DA"/>
    <w:rsid w:val="00741569"/>
    <w:rsid w:val="007415C7"/>
    <w:rsid w:val="00741B1D"/>
    <w:rsid w:val="00741BC7"/>
    <w:rsid w:val="00741F1F"/>
    <w:rsid w:val="00742517"/>
    <w:rsid w:val="00742F97"/>
    <w:rsid w:val="007432AD"/>
    <w:rsid w:val="00743B35"/>
    <w:rsid w:val="00744347"/>
    <w:rsid w:val="00744AE5"/>
    <w:rsid w:val="00744E34"/>
    <w:rsid w:val="007452C4"/>
    <w:rsid w:val="00745586"/>
    <w:rsid w:val="007457E8"/>
    <w:rsid w:val="007465BD"/>
    <w:rsid w:val="007467A7"/>
    <w:rsid w:val="00746A9B"/>
    <w:rsid w:val="007470F0"/>
    <w:rsid w:val="0074729F"/>
    <w:rsid w:val="0074744C"/>
    <w:rsid w:val="0074762E"/>
    <w:rsid w:val="0074784F"/>
    <w:rsid w:val="00747889"/>
    <w:rsid w:val="00747E74"/>
    <w:rsid w:val="00750322"/>
    <w:rsid w:val="007503D4"/>
    <w:rsid w:val="0075077B"/>
    <w:rsid w:val="00750D08"/>
    <w:rsid w:val="0075114B"/>
    <w:rsid w:val="007515AE"/>
    <w:rsid w:val="00751A52"/>
    <w:rsid w:val="00751BAD"/>
    <w:rsid w:val="00751BFB"/>
    <w:rsid w:val="0075238B"/>
    <w:rsid w:val="0075266C"/>
    <w:rsid w:val="007526A6"/>
    <w:rsid w:val="007527BA"/>
    <w:rsid w:val="007528B4"/>
    <w:rsid w:val="00752918"/>
    <w:rsid w:val="00752C10"/>
    <w:rsid w:val="00753322"/>
    <w:rsid w:val="007534D5"/>
    <w:rsid w:val="00754146"/>
    <w:rsid w:val="0075454D"/>
    <w:rsid w:val="007546C7"/>
    <w:rsid w:val="0075488D"/>
    <w:rsid w:val="00754C56"/>
    <w:rsid w:val="00754C79"/>
    <w:rsid w:val="00754C8F"/>
    <w:rsid w:val="00754F34"/>
    <w:rsid w:val="0075542E"/>
    <w:rsid w:val="00755B99"/>
    <w:rsid w:val="00755DED"/>
    <w:rsid w:val="00755EE4"/>
    <w:rsid w:val="0075668F"/>
    <w:rsid w:val="00756838"/>
    <w:rsid w:val="007570E2"/>
    <w:rsid w:val="0075777A"/>
    <w:rsid w:val="007577A6"/>
    <w:rsid w:val="0075786F"/>
    <w:rsid w:val="00757881"/>
    <w:rsid w:val="00757B31"/>
    <w:rsid w:val="007607BD"/>
    <w:rsid w:val="00761201"/>
    <w:rsid w:val="007619C7"/>
    <w:rsid w:val="00761C59"/>
    <w:rsid w:val="00761F5E"/>
    <w:rsid w:val="00761FAD"/>
    <w:rsid w:val="00762928"/>
    <w:rsid w:val="00763080"/>
    <w:rsid w:val="00763575"/>
    <w:rsid w:val="007636AE"/>
    <w:rsid w:val="00763C7E"/>
    <w:rsid w:val="007648FA"/>
    <w:rsid w:val="007649D3"/>
    <w:rsid w:val="007656B0"/>
    <w:rsid w:val="007656B7"/>
    <w:rsid w:val="0076692F"/>
    <w:rsid w:val="00767155"/>
    <w:rsid w:val="00767E04"/>
    <w:rsid w:val="007700C1"/>
    <w:rsid w:val="00770377"/>
    <w:rsid w:val="0077037C"/>
    <w:rsid w:val="007703B3"/>
    <w:rsid w:val="00770425"/>
    <w:rsid w:val="007705DF"/>
    <w:rsid w:val="007705F8"/>
    <w:rsid w:val="0077085B"/>
    <w:rsid w:val="00770948"/>
    <w:rsid w:val="00770E1E"/>
    <w:rsid w:val="00770E65"/>
    <w:rsid w:val="007715F2"/>
    <w:rsid w:val="00771651"/>
    <w:rsid w:val="007717CA"/>
    <w:rsid w:val="00771D81"/>
    <w:rsid w:val="00772147"/>
    <w:rsid w:val="007721DC"/>
    <w:rsid w:val="0077250D"/>
    <w:rsid w:val="00772665"/>
    <w:rsid w:val="007727B8"/>
    <w:rsid w:val="007731A3"/>
    <w:rsid w:val="00773209"/>
    <w:rsid w:val="0077351C"/>
    <w:rsid w:val="00773BB2"/>
    <w:rsid w:val="0077470E"/>
    <w:rsid w:val="007748FE"/>
    <w:rsid w:val="00774C64"/>
    <w:rsid w:val="00774EF2"/>
    <w:rsid w:val="00775155"/>
    <w:rsid w:val="007756D5"/>
    <w:rsid w:val="00775724"/>
    <w:rsid w:val="00775F1D"/>
    <w:rsid w:val="007763A7"/>
    <w:rsid w:val="007767BB"/>
    <w:rsid w:val="00776E6D"/>
    <w:rsid w:val="0077777E"/>
    <w:rsid w:val="0077791B"/>
    <w:rsid w:val="00777BC9"/>
    <w:rsid w:val="00777CB3"/>
    <w:rsid w:val="0078009F"/>
    <w:rsid w:val="00780615"/>
    <w:rsid w:val="00780CA7"/>
    <w:rsid w:val="00780EF7"/>
    <w:rsid w:val="00780F94"/>
    <w:rsid w:val="00781285"/>
    <w:rsid w:val="007813C6"/>
    <w:rsid w:val="007818CB"/>
    <w:rsid w:val="00781C59"/>
    <w:rsid w:val="00781DF6"/>
    <w:rsid w:val="00781E43"/>
    <w:rsid w:val="00781FB7"/>
    <w:rsid w:val="007828A2"/>
    <w:rsid w:val="00782BFB"/>
    <w:rsid w:val="00782D19"/>
    <w:rsid w:val="00782DD3"/>
    <w:rsid w:val="00782F34"/>
    <w:rsid w:val="00782FF6"/>
    <w:rsid w:val="0078384B"/>
    <w:rsid w:val="00784231"/>
    <w:rsid w:val="0078423E"/>
    <w:rsid w:val="00784306"/>
    <w:rsid w:val="0078468F"/>
    <w:rsid w:val="007850DD"/>
    <w:rsid w:val="007853A1"/>
    <w:rsid w:val="0078547D"/>
    <w:rsid w:val="00785AFD"/>
    <w:rsid w:val="00785B4C"/>
    <w:rsid w:val="00785EB0"/>
    <w:rsid w:val="00786107"/>
    <w:rsid w:val="007863B8"/>
    <w:rsid w:val="00786467"/>
    <w:rsid w:val="00786931"/>
    <w:rsid w:val="0078693A"/>
    <w:rsid w:val="00786D3B"/>
    <w:rsid w:val="00787678"/>
    <w:rsid w:val="0078770A"/>
    <w:rsid w:val="00787768"/>
    <w:rsid w:val="0079020C"/>
    <w:rsid w:val="007904A5"/>
    <w:rsid w:val="00790C53"/>
    <w:rsid w:val="00790DCC"/>
    <w:rsid w:val="00791360"/>
    <w:rsid w:val="00791645"/>
    <w:rsid w:val="0079196A"/>
    <w:rsid w:val="00791D7E"/>
    <w:rsid w:val="00791E05"/>
    <w:rsid w:val="00791E34"/>
    <w:rsid w:val="00791E8A"/>
    <w:rsid w:val="00791FA1"/>
    <w:rsid w:val="0079213E"/>
    <w:rsid w:val="007925C3"/>
    <w:rsid w:val="00792659"/>
    <w:rsid w:val="0079299E"/>
    <w:rsid w:val="0079302B"/>
    <w:rsid w:val="007933AF"/>
    <w:rsid w:val="0079379E"/>
    <w:rsid w:val="00793BF2"/>
    <w:rsid w:val="007941B5"/>
    <w:rsid w:val="00794227"/>
    <w:rsid w:val="007943C2"/>
    <w:rsid w:val="00794A9B"/>
    <w:rsid w:val="00794FA3"/>
    <w:rsid w:val="0079604B"/>
    <w:rsid w:val="00796551"/>
    <w:rsid w:val="00796702"/>
    <w:rsid w:val="00796B0F"/>
    <w:rsid w:val="00797960"/>
    <w:rsid w:val="00797DB6"/>
    <w:rsid w:val="007A0142"/>
    <w:rsid w:val="007A041E"/>
    <w:rsid w:val="007A089F"/>
    <w:rsid w:val="007A0A58"/>
    <w:rsid w:val="007A0C8D"/>
    <w:rsid w:val="007A1700"/>
    <w:rsid w:val="007A1A8C"/>
    <w:rsid w:val="007A1AD5"/>
    <w:rsid w:val="007A1BD2"/>
    <w:rsid w:val="007A1C33"/>
    <w:rsid w:val="007A2540"/>
    <w:rsid w:val="007A28A0"/>
    <w:rsid w:val="007A2BA9"/>
    <w:rsid w:val="007A31A3"/>
    <w:rsid w:val="007A31BC"/>
    <w:rsid w:val="007A334B"/>
    <w:rsid w:val="007A3666"/>
    <w:rsid w:val="007A3D77"/>
    <w:rsid w:val="007A3FD3"/>
    <w:rsid w:val="007A4008"/>
    <w:rsid w:val="007A4DC1"/>
    <w:rsid w:val="007A507B"/>
    <w:rsid w:val="007A507E"/>
    <w:rsid w:val="007A554B"/>
    <w:rsid w:val="007A5603"/>
    <w:rsid w:val="007A593C"/>
    <w:rsid w:val="007A59DA"/>
    <w:rsid w:val="007A5ABA"/>
    <w:rsid w:val="007A5C2E"/>
    <w:rsid w:val="007A5CC5"/>
    <w:rsid w:val="007A604E"/>
    <w:rsid w:val="007A60E8"/>
    <w:rsid w:val="007A64C5"/>
    <w:rsid w:val="007A6583"/>
    <w:rsid w:val="007A6717"/>
    <w:rsid w:val="007A70ED"/>
    <w:rsid w:val="007A7C65"/>
    <w:rsid w:val="007B013C"/>
    <w:rsid w:val="007B1029"/>
    <w:rsid w:val="007B1415"/>
    <w:rsid w:val="007B160F"/>
    <w:rsid w:val="007B16D4"/>
    <w:rsid w:val="007B193F"/>
    <w:rsid w:val="007B19E9"/>
    <w:rsid w:val="007B1A2C"/>
    <w:rsid w:val="007B2115"/>
    <w:rsid w:val="007B2528"/>
    <w:rsid w:val="007B270F"/>
    <w:rsid w:val="007B2A64"/>
    <w:rsid w:val="007B2C12"/>
    <w:rsid w:val="007B2CC2"/>
    <w:rsid w:val="007B2EF6"/>
    <w:rsid w:val="007B30A4"/>
    <w:rsid w:val="007B340F"/>
    <w:rsid w:val="007B36BF"/>
    <w:rsid w:val="007B4415"/>
    <w:rsid w:val="007B47A2"/>
    <w:rsid w:val="007B4D69"/>
    <w:rsid w:val="007B4F48"/>
    <w:rsid w:val="007B51A2"/>
    <w:rsid w:val="007B57BC"/>
    <w:rsid w:val="007B59E2"/>
    <w:rsid w:val="007B5B74"/>
    <w:rsid w:val="007B5C82"/>
    <w:rsid w:val="007B6087"/>
    <w:rsid w:val="007B60D2"/>
    <w:rsid w:val="007B6251"/>
    <w:rsid w:val="007B62BE"/>
    <w:rsid w:val="007B6A51"/>
    <w:rsid w:val="007B6D93"/>
    <w:rsid w:val="007B70CA"/>
    <w:rsid w:val="007B7561"/>
    <w:rsid w:val="007B7B8A"/>
    <w:rsid w:val="007C02C7"/>
    <w:rsid w:val="007C0306"/>
    <w:rsid w:val="007C04AF"/>
    <w:rsid w:val="007C06F1"/>
    <w:rsid w:val="007C0B70"/>
    <w:rsid w:val="007C0C14"/>
    <w:rsid w:val="007C0F27"/>
    <w:rsid w:val="007C2583"/>
    <w:rsid w:val="007C2873"/>
    <w:rsid w:val="007C2A1E"/>
    <w:rsid w:val="007C2A99"/>
    <w:rsid w:val="007C2F63"/>
    <w:rsid w:val="007C303E"/>
    <w:rsid w:val="007C30B3"/>
    <w:rsid w:val="007C3414"/>
    <w:rsid w:val="007C35E1"/>
    <w:rsid w:val="007C3AC3"/>
    <w:rsid w:val="007C3DEF"/>
    <w:rsid w:val="007C4586"/>
    <w:rsid w:val="007C4E31"/>
    <w:rsid w:val="007C563A"/>
    <w:rsid w:val="007C611C"/>
    <w:rsid w:val="007C6680"/>
    <w:rsid w:val="007C6B65"/>
    <w:rsid w:val="007C757C"/>
    <w:rsid w:val="007C79EB"/>
    <w:rsid w:val="007D02BC"/>
    <w:rsid w:val="007D04AE"/>
    <w:rsid w:val="007D07AA"/>
    <w:rsid w:val="007D0C94"/>
    <w:rsid w:val="007D0FD7"/>
    <w:rsid w:val="007D12FE"/>
    <w:rsid w:val="007D18C7"/>
    <w:rsid w:val="007D1BB4"/>
    <w:rsid w:val="007D1D82"/>
    <w:rsid w:val="007D248F"/>
    <w:rsid w:val="007D25F1"/>
    <w:rsid w:val="007D298A"/>
    <w:rsid w:val="007D2C92"/>
    <w:rsid w:val="007D2D7D"/>
    <w:rsid w:val="007D3350"/>
    <w:rsid w:val="007D3918"/>
    <w:rsid w:val="007D3D54"/>
    <w:rsid w:val="007D3F23"/>
    <w:rsid w:val="007D401D"/>
    <w:rsid w:val="007D4889"/>
    <w:rsid w:val="007D5387"/>
    <w:rsid w:val="007D56AC"/>
    <w:rsid w:val="007D5B4E"/>
    <w:rsid w:val="007D5D3E"/>
    <w:rsid w:val="007D5D53"/>
    <w:rsid w:val="007D68C2"/>
    <w:rsid w:val="007D6972"/>
    <w:rsid w:val="007D76FF"/>
    <w:rsid w:val="007D79BD"/>
    <w:rsid w:val="007D7A7B"/>
    <w:rsid w:val="007D7F15"/>
    <w:rsid w:val="007D7FEA"/>
    <w:rsid w:val="007E00F6"/>
    <w:rsid w:val="007E01B3"/>
    <w:rsid w:val="007E0471"/>
    <w:rsid w:val="007E1317"/>
    <w:rsid w:val="007E16EB"/>
    <w:rsid w:val="007E17BB"/>
    <w:rsid w:val="007E1E99"/>
    <w:rsid w:val="007E225C"/>
    <w:rsid w:val="007E24A3"/>
    <w:rsid w:val="007E2506"/>
    <w:rsid w:val="007E25B9"/>
    <w:rsid w:val="007E28B3"/>
    <w:rsid w:val="007E34F9"/>
    <w:rsid w:val="007E3E81"/>
    <w:rsid w:val="007E401C"/>
    <w:rsid w:val="007E4234"/>
    <w:rsid w:val="007E4266"/>
    <w:rsid w:val="007E4422"/>
    <w:rsid w:val="007E467F"/>
    <w:rsid w:val="007E4A81"/>
    <w:rsid w:val="007E4B2B"/>
    <w:rsid w:val="007E5407"/>
    <w:rsid w:val="007E55D0"/>
    <w:rsid w:val="007E576B"/>
    <w:rsid w:val="007E6285"/>
    <w:rsid w:val="007E6E6B"/>
    <w:rsid w:val="007E6F08"/>
    <w:rsid w:val="007E6FA4"/>
    <w:rsid w:val="007E7146"/>
    <w:rsid w:val="007E7E7B"/>
    <w:rsid w:val="007E7E8B"/>
    <w:rsid w:val="007F03E5"/>
    <w:rsid w:val="007F063D"/>
    <w:rsid w:val="007F09FB"/>
    <w:rsid w:val="007F12AB"/>
    <w:rsid w:val="007F1404"/>
    <w:rsid w:val="007F167D"/>
    <w:rsid w:val="007F23D9"/>
    <w:rsid w:val="007F2584"/>
    <w:rsid w:val="007F28E8"/>
    <w:rsid w:val="007F2B95"/>
    <w:rsid w:val="007F2FB3"/>
    <w:rsid w:val="007F3291"/>
    <w:rsid w:val="007F3309"/>
    <w:rsid w:val="007F33BD"/>
    <w:rsid w:val="007F3A95"/>
    <w:rsid w:val="007F470D"/>
    <w:rsid w:val="007F4988"/>
    <w:rsid w:val="007F4BED"/>
    <w:rsid w:val="007F5241"/>
    <w:rsid w:val="007F5BA6"/>
    <w:rsid w:val="007F5F4F"/>
    <w:rsid w:val="007F66D9"/>
    <w:rsid w:val="007F6722"/>
    <w:rsid w:val="007F67CD"/>
    <w:rsid w:val="007F6ABA"/>
    <w:rsid w:val="007F720E"/>
    <w:rsid w:val="007F7C41"/>
    <w:rsid w:val="007F7DE2"/>
    <w:rsid w:val="008001DD"/>
    <w:rsid w:val="00800B0B"/>
    <w:rsid w:val="008011EC"/>
    <w:rsid w:val="00801217"/>
    <w:rsid w:val="00801624"/>
    <w:rsid w:val="0080162A"/>
    <w:rsid w:val="00801D45"/>
    <w:rsid w:val="00802016"/>
    <w:rsid w:val="008021F7"/>
    <w:rsid w:val="008023FC"/>
    <w:rsid w:val="00802545"/>
    <w:rsid w:val="008035A0"/>
    <w:rsid w:val="0080364F"/>
    <w:rsid w:val="00803B9A"/>
    <w:rsid w:val="00803DE0"/>
    <w:rsid w:val="00804ABF"/>
    <w:rsid w:val="00804CFD"/>
    <w:rsid w:val="00804D3B"/>
    <w:rsid w:val="0080508F"/>
    <w:rsid w:val="00805957"/>
    <w:rsid w:val="00805BB2"/>
    <w:rsid w:val="00805EC1"/>
    <w:rsid w:val="00806044"/>
    <w:rsid w:val="00807B92"/>
    <w:rsid w:val="00807F52"/>
    <w:rsid w:val="008108BF"/>
    <w:rsid w:val="00810AAB"/>
    <w:rsid w:val="00810FB2"/>
    <w:rsid w:val="0081129E"/>
    <w:rsid w:val="008119D8"/>
    <w:rsid w:val="00811EEC"/>
    <w:rsid w:val="00811FEC"/>
    <w:rsid w:val="0081236D"/>
    <w:rsid w:val="00812569"/>
    <w:rsid w:val="008134E9"/>
    <w:rsid w:val="00813C28"/>
    <w:rsid w:val="00813DB9"/>
    <w:rsid w:val="00814249"/>
    <w:rsid w:val="00814AE3"/>
    <w:rsid w:val="00814B95"/>
    <w:rsid w:val="00815544"/>
    <w:rsid w:val="008155A0"/>
    <w:rsid w:val="0081588E"/>
    <w:rsid w:val="00815A64"/>
    <w:rsid w:val="00815BFD"/>
    <w:rsid w:val="00816442"/>
    <w:rsid w:val="0081654F"/>
    <w:rsid w:val="00816F62"/>
    <w:rsid w:val="00816F75"/>
    <w:rsid w:val="0081728E"/>
    <w:rsid w:val="00817F36"/>
    <w:rsid w:val="00820094"/>
    <w:rsid w:val="0082070A"/>
    <w:rsid w:val="00820714"/>
    <w:rsid w:val="00820932"/>
    <w:rsid w:val="0082105D"/>
    <w:rsid w:val="008211E0"/>
    <w:rsid w:val="008213B0"/>
    <w:rsid w:val="00821688"/>
    <w:rsid w:val="00821A1A"/>
    <w:rsid w:val="00821BCF"/>
    <w:rsid w:val="00821CF6"/>
    <w:rsid w:val="008220B7"/>
    <w:rsid w:val="008220ED"/>
    <w:rsid w:val="00822692"/>
    <w:rsid w:val="00822783"/>
    <w:rsid w:val="008228AB"/>
    <w:rsid w:val="00822E37"/>
    <w:rsid w:val="0082336C"/>
    <w:rsid w:val="0082336F"/>
    <w:rsid w:val="008234FB"/>
    <w:rsid w:val="008234FC"/>
    <w:rsid w:val="00823D0C"/>
    <w:rsid w:val="008246A9"/>
    <w:rsid w:val="00824DDA"/>
    <w:rsid w:val="00824DF6"/>
    <w:rsid w:val="008254B7"/>
    <w:rsid w:val="008262E6"/>
    <w:rsid w:val="00826750"/>
    <w:rsid w:val="00826758"/>
    <w:rsid w:val="008267B3"/>
    <w:rsid w:val="008268DF"/>
    <w:rsid w:val="00826936"/>
    <w:rsid w:val="00826C50"/>
    <w:rsid w:val="00826CBC"/>
    <w:rsid w:val="00826E23"/>
    <w:rsid w:val="008270BA"/>
    <w:rsid w:val="00827659"/>
    <w:rsid w:val="00827E06"/>
    <w:rsid w:val="0083036B"/>
    <w:rsid w:val="0083072B"/>
    <w:rsid w:val="008307C8"/>
    <w:rsid w:val="00830C29"/>
    <w:rsid w:val="00830DE5"/>
    <w:rsid w:val="008313B5"/>
    <w:rsid w:val="008313FF"/>
    <w:rsid w:val="008324F2"/>
    <w:rsid w:val="0083258F"/>
    <w:rsid w:val="00832897"/>
    <w:rsid w:val="00832B65"/>
    <w:rsid w:val="00832D9C"/>
    <w:rsid w:val="00832E53"/>
    <w:rsid w:val="00833A9C"/>
    <w:rsid w:val="00833B6A"/>
    <w:rsid w:val="008341E1"/>
    <w:rsid w:val="008343A1"/>
    <w:rsid w:val="00834559"/>
    <w:rsid w:val="008346E4"/>
    <w:rsid w:val="00834C41"/>
    <w:rsid w:val="00835117"/>
    <w:rsid w:val="008356A1"/>
    <w:rsid w:val="00835C46"/>
    <w:rsid w:val="0083609D"/>
    <w:rsid w:val="00836A49"/>
    <w:rsid w:val="00836C2C"/>
    <w:rsid w:val="0083761A"/>
    <w:rsid w:val="00837758"/>
    <w:rsid w:val="00837E23"/>
    <w:rsid w:val="00837F32"/>
    <w:rsid w:val="00840749"/>
    <w:rsid w:val="00840852"/>
    <w:rsid w:val="0084090D"/>
    <w:rsid w:val="00840D3A"/>
    <w:rsid w:val="00841173"/>
    <w:rsid w:val="00841184"/>
    <w:rsid w:val="008411E7"/>
    <w:rsid w:val="00841332"/>
    <w:rsid w:val="0084167C"/>
    <w:rsid w:val="0084185A"/>
    <w:rsid w:val="00841B37"/>
    <w:rsid w:val="00841F6C"/>
    <w:rsid w:val="00842061"/>
    <w:rsid w:val="0084222E"/>
    <w:rsid w:val="00842A0F"/>
    <w:rsid w:val="00842FE2"/>
    <w:rsid w:val="0084331A"/>
    <w:rsid w:val="0084396C"/>
    <w:rsid w:val="00843A3B"/>
    <w:rsid w:val="00843AF1"/>
    <w:rsid w:val="00844618"/>
    <w:rsid w:val="00844C64"/>
    <w:rsid w:val="00844E7F"/>
    <w:rsid w:val="00845569"/>
    <w:rsid w:val="0084558E"/>
    <w:rsid w:val="00845F35"/>
    <w:rsid w:val="00846147"/>
    <w:rsid w:val="008461C1"/>
    <w:rsid w:val="0084697F"/>
    <w:rsid w:val="00847325"/>
    <w:rsid w:val="00847446"/>
    <w:rsid w:val="00847737"/>
    <w:rsid w:val="00847772"/>
    <w:rsid w:val="00847BF5"/>
    <w:rsid w:val="00850938"/>
    <w:rsid w:val="00850966"/>
    <w:rsid w:val="00850C5E"/>
    <w:rsid w:val="00850D7B"/>
    <w:rsid w:val="00851069"/>
    <w:rsid w:val="00851B13"/>
    <w:rsid w:val="00851F94"/>
    <w:rsid w:val="00852101"/>
    <w:rsid w:val="00852E52"/>
    <w:rsid w:val="00853914"/>
    <w:rsid w:val="00853976"/>
    <w:rsid w:val="00853A0A"/>
    <w:rsid w:val="00853C67"/>
    <w:rsid w:val="00853F5C"/>
    <w:rsid w:val="008543D2"/>
    <w:rsid w:val="008543D7"/>
    <w:rsid w:val="0085469C"/>
    <w:rsid w:val="00854721"/>
    <w:rsid w:val="00854759"/>
    <w:rsid w:val="0085480D"/>
    <w:rsid w:val="00854FC7"/>
    <w:rsid w:val="0085535A"/>
    <w:rsid w:val="008554FE"/>
    <w:rsid w:val="00855839"/>
    <w:rsid w:val="0085594A"/>
    <w:rsid w:val="00855D98"/>
    <w:rsid w:val="008563C5"/>
    <w:rsid w:val="00856B4A"/>
    <w:rsid w:val="00856D53"/>
    <w:rsid w:val="00856E3F"/>
    <w:rsid w:val="00857007"/>
    <w:rsid w:val="00857B55"/>
    <w:rsid w:val="00857FA3"/>
    <w:rsid w:val="00857FAC"/>
    <w:rsid w:val="0086004D"/>
    <w:rsid w:val="00860418"/>
    <w:rsid w:val="00860537"/>
    <w:rsid w:val="008607E1"/>
    <w:rsid w:val="00860E87"/>
    <w:rsid w:val="00861CF8"/>
    <w:rsid w:val="0086203E"/>
    <w:rsid w:val="008621C5"/>
    <w:rsid w:val="0086257D"/>
    <w:rsid w:val="0086262C"/>
    <w:rsid w:val="00862CBB"/>
    <w:rsid w:val="00863029"/>
    <w:rsid w:val="008630C1"/>
    <w:rsid w:val="008632AE"/>
    <w:rsid w:val="008634B6"/>
    <w:rsid w:val="00863F84"/>
    <w:rsid w:val="0086417F"/>
    <w:rsid w:val="00864251"/>
    <w:rsid w:val="0086441D"/>
    <w:rsid w:val="008647BB"/>
    <w:rsid w:val="0086538F"/>
    <w:rsid w:val="00865A3B"/>
    <w:rsid w:val="00865B5F"/>
    <w:rsid w:val="00866206"/>
    <w:rsid w:val="008666D8"/>
    <w:rsid w:val="00866D0D"/>
    <w:rsid w:val="00866DE7"/>
    <w:rsid w:val="00866F8F"/>
    <w:rsid w:val="0086747B"/>
    <w:rsid w:val="00867DB7"/>
    <w:rsid w:val="008700A1"/>
    <w:rsid w:val="008705B6"/>
    <w:rsid w:val="00870714"/>
    <w:rsid w:val="00870901"/>
    <w:rsid w:val="00871D08"/>
    <w:rsid w:val="00871EF3"/>
    <w:rsid w:val="00872B35"/>
    <w:rsid w:val="00872EDB"/>
    <w:rsid w:val="00872FEB"/>
    <w:rsid w:val="008731EA"/>
    <w:rsid w:val="0087367E"/>
    <w:rsid w:val="00873978"/>
    <w:rsid w:val="0087414C"/>
    <w:rsid w:val="00874BF2"/>
    <w:rsid w:val="00874FAB"/>
    <w:rsid w:val="0087567D"/>
    <w:rsid w:val="00875831"/>
    <w:rsid w:val="00875A4E"/>
    <w:rsid w:val="00875B3A"/>
    <w:rsid w:val="00876115"/>
    <w:rsid w:val="008765DA"/>
    <w:rsid w:val="00876762"/>
    <w:rsid w:val="00876ABA"/>
    <w:rsid w:val="0087750A"/>
    <w:rsid w:val="008776FB"/>
    <w:rsid w:val="0087770A"/>
    <w:rsid w:val="00877EC8"/>
    <w:rsid w:val="008800CE"/>
    <w:rsid w:val="008801A4"/>
    <w:rsid w:val="008806C2"/>
    <w:rsid w:val="008807D7"/>
    <w:rsid w:val="00881171"/>
    <w:rsid w:val="0088140A"/>
    <w:rsid w:val="008814A4"/>
    <w:rsid w:val="00881A4A"/>
    <w:rsid w:val="00881E0B"/>
    <w:rsid w:val="00881E29"/>
    <w:rsid w:val="00882913"/>
    <w:rsid w:val="00882EE4"/>
    <w:rsid w:val="008832BB"/>
    <w:rsid w:val="0088410D"/>
    <w:rsid w:val="0088458A"/>
    <w:rsid w:val="008847AD"/>
    <w:rsid w:val="00884A3A"/>
    <w:rsid w:val="0088511B"/>
    <w:rsid w:val="008853AE"/>
    <w:rsid w:val="0088549F"/>
    <w:rsid w:val="0088552D"/>
    <w:rsid w:val="00885848"/>
    <w:rsid w:val="00885AAB"/>
    <w:rsid w:val="00885FF1"/>
    <w:rsid w:val="00886671"/>
    <w:rsid w:val="008868C3"/>
    <w:rsid w:val="008868D8"/>
    <w:rsid w:val="0088720B"/>
    <w:rsid w:val="008874C0"/>
    <w:rsid w:val="00887DFB"/>
    <w:rsid w:val="0089001F"/>
    <w:rsid w:val="00890C6A"/>
    <w:rsid w:val="00890D26"/>
    <w:rsid w:val="0089111A"/>
    <w:rsid w:val="00891502"/>
    <w:rsid w:val="0089189F"/>
    <w:rsid w:val="00891947"/>
    <w:rsid w:val="00891D3F"/>
    <w:rsid w:val="00892261"/>
    <w:rsid w:val="008923B4"/>
    <w:rsid w:val="008926B1"/>
    <w:rsid w:val="00892B70"/>
    <w:rsid w:val="008934E4"/>
    <w:rsid w:val="00893EE6"/>
    <w:rsid w:val="00894423"/>
    <w:rsid w:val="008947F1"/>
    <w:rsid w:val="0089497D"/>
    <w:rsid w:val="00894AD3"/>
    <w:rsid w:val="00894E59"/>
    <w:rsid w:val="008954C0"/>
    <w:rsid w:val="00895DB5"/>
    <w:rsid w:val="00895ED1"/>
    <w:rsid w:val="00896186"/>
    <w:rsid w:val="00896558"/>
    <w:rsid w:val="00896D50"/>
    <w:rsid w:val="00896F7D"/>
    <w:rsid w:val="00897040"/>
    <w:rsid w:val="008975EF"/>
    <w:rsid w:val="0089769E"/>
    <w:rsid w:val="008976D8"/>
    <w:rsid w:val="00897841"/>
    <w:rsid w:val="00897AF4"/>
    <w:rsid w:val="008A022A"/>
    <w:rsid w:val="008A044F"/>
    <w:rsid w:val="008A0692"/>
    <w:rsid w:val="008A2401"/>
    <w:rsid w:val="008A2580"/>
    <w:rsid w:val="008A262A"/>
    <w:rsid w:val="008A272B"/>
    <w:rsid w:val="008A281B"/>
    <w:rsid w:val="008A2824"/>
    <w:rsid w:val="008A2E7F"/>
    <w:rsid w:val="008A33F4"/>
    <w:rsid w:val="008A3788"/>
    <w:rsid w:val="008A43AD"/>
    <w:rsid w:val="008A474F"/>
    <w:rsid w:val="008A4938"/>
    <w:rsid w:val="008A4BEE"/>
    <w:rsid w:val="008A4CE3"/>
    <w:rsid w:val="008A4E15"/>
    <w:rsid w:val="008A4EEE"/>
    <w:rsid w:val="008A5029"/>
    <w:rsid w:val="008A50E2"/>
    <w:rsid w:val="008A58A0"/>
    <w:rsid w:val="008A5C33"/>
    <w:rsid w:val="008A5D39"/>
    <w:rsid w:val="008A5DC3"/>
    <w:rsid w:val="008A5EF2"/>
    <w:rsid w:val="008A5F40"/>
    <w:rsid w:val="008A60A0"/>
    <w:rsid w:val="008A62D3"/>
    <w:rsid w:val="008A62FF"/>
    <w:rsid w:val="008A6972"/>
    <w:rsid w:val="008A71F4"/>
    <w:rsid w:val="008A74F4"/>
    <w:rsid w:val="008A7E66"/>
    <w:rsid w:val="008B0104"/>
    <w:rsid w:val="008B028F"/>
    <w:rsid w:val="008B06EE"/>
    <w:rsid w:val="008B088E"/>
    <w:rsid w:val="008B09A7"/>
    <w:rsid w:val="008B09DD"/>
    <w:rsid w:val="008B1300"/>
    <w:rsid w:val="008B14EA"/>
    <w:rsid w:val="008B1892"/>
    <w:rsid w:val="008B1D62"/>
    <w:rsid w:val="008B24DA"/>
    <w:rsid w:val="008B250C"/>
    <w:rsid w:val="008B2A83"/>
    <w:rsid w:val="008B2AE6"/>
    <w:rsid w:val="008B3033"/>
    <w:rsid w:val="008B33BC"/>
    <w:rsid w:val="008B34A9"/>
    <w:rsid w:val="008B4610"/>
    <w:rsid w:val="008B46CB"/>
    <w:rsid w:val="008B492E"/>
    <w:rsid w:val="008B5087"/>
    <w:rsid w:val="008B5864"/>
    <w:rsid w:val="008B58D0"/>
    <w:rsid w:val="008B6427"/>
    <w:rsid w:val="008B6737"/>
    <w:rsid w:val="008B6C09"/>
    <w:rsid w:val="008B6DD8"/>
    <w:rsid w:val="008B77EE"/>
    <w:rsid w:val="008B7DDD"/>
    <w:rsid w:val="008B7FCD"/>
    <w:rsid w:val="008C01E9"/>
    <w:rsid w:val="008C0B4F"/>
    <w:rsid w:val="008C0FC0"/>
    <w:rsid w:val="008C1047"/>
    <w:rsid w:val="008C15FC"/>
    <w:rsid w:val="008C19C3"/>
    <w:rsid w:val="008C1A2C"/>
    <w:rsid w:val="008C1E31"/>
    <w:rsid w:val="008C1FF2"/>
    <w:rsid w:val="008C2344"/>
    <w:rsid w:val="008C2587"/>
    <w:rsid w:val="008C25E9"/>
    <w:rsid w:val="008C2DA8"/>
    <w:rsid w:val="008C2E54"/>
    <w:rsid w:val="008C3343"/>
    <w:rsid w:val="008C3461"/>
    <w:rsid w:val="008C3624"/>
    <w:rsid w:val="008C36F0"/>
    <w:rsid w:val="008C39D0"/>
    <w:rsid w:val="008C44C1"/>
    <w:rsid w:val="008C4570"/>
    <w:rsid w:val="008C496F"/>
    <w:rsid w:val="008C4E45"/>
    <w:rsid w:val="008C5032"/>
    <w:rsid w:val="008C5252"/>
    <w:rsid w:val="008C5639"/>
    <w:rsid w:val="008C597D"/>
    <w:rsid w:val="008C598B"/>
    <w:rsid w:val="008C5B7E"/>
    <w:rsid w:val="008C6007"/>
    <w:rsid w:val="008C6095"/>
    <w:rsid w:val="008C61C8"/>
    <w:rsid w:val="008C6216"/>
    <w:rsid w:val="008C63D3"/>
    <w:rsid w:val="008C6A30"/>
    <w:rsid w:val="008C6DF9"/>
    <w:rsid w:val="008C6F11"/>
    <w:rsid w:val="008C7178"/>
    <w:rsid w:val="008C74FF"/>
    <w:rsid w:val="008C7614"/>
    <w:rsid w:val="008C76EA"/>
    <w:rsid w:val="008C7877"/>
    <w:rsid w:val="008C79C7"/>
    <w:rsid w:val="008C7BB4"/>
    <w:rsid w:val="008C7F3A"/>
    <w:rsid w:val="008D02AA"/>
    <w:rsid w:val="008D03D4"/>
    <w:rsid w:val="008D099B"/>
    <w:rsid w:val="008D09E9"/>
    <w:rsid w:val="008D1171"/>
    <w:rsid w:val="008D1176"/>
    <w:rsid w:val="008D1464"/>
    <w:rsid w:val="008D14F0"/>
    <w:rsid w:val="008D16B1"/>
    <w:rsid w:val="008D1EBE"/>
    <w:rsid w:val="008D23C9"/>
    <w:rsid w:val="008D2B50"/>
    <w:rsid w:val="008D35D1"/>
    <w:rsid w:val="008D4095"/>
    <w:rsid w:val="008D460A"/>
    <w:rsid w:val="008D465A"/>
    <w:rsid w:val="008D468F"/>
    <w:rsid w:val="008D489D"/>
    <w:rsid w:val="008D4D9B"/>
    <w:rsid w:val="008D5017"/>
    <w:rsid w:val="008D520B"/>
    <w:rsid w:val="008D5613"/>
    <w:rsid w:val="008D5917"/>
    <w:rsid w:val="008D5BB3"/>
    <w:rsid w:val="008D5BD0"/>
    <w:rsid w:val="008D6084"/>
    <w:rsid w:val="008D6367"/>
    <w:rsid w:val="008D6541"/>
    <w:rsid w:val="008D6BDE"/>
    <w:rsid w:val="008D6CC4"/>
    <w:rsid w:val="008D6F88"/>
    <w:rsid w:val="008D70FF"/>
    <w:rsid w:val="008D7A30"/>
    <w:rsid w:val="008D7D88"/>
    <w:rsid w:val="008D7FF2"/>
    <w:rsid w:val="008E0417"/>
    <w:rsid w:val="008E0710"/>
    <w:rsid w:val="008E07E1"/>
    <w:rsid w:val="008E082C"/>
    <w:rsid w:val="008E09D1"/>
    <w:rsid w:val="008E0B48"/>
    <w:rsid w:val="008E103F"/>
    <w:rsid w:val="008E12AA"/>
    <w:rsid w:val="008E1A94"/>
    <w:rsid w:val="008E1EBE"/>
    <w:rsid w:val="008E27CA"/>
    <w:rsid w:val="008E2881"/>
    <w:rsid w:val="008E2B36"/>
    <w:rsid w:val="008E2C64"/>
    <w:rsid w:val="008E33FD"/>
    <w:rsid w:val="008E38E9"/>
    <w:rsid w:val="008E3AFB"/>
    <w:rsid w:val="008E3ED4"/>
    <w:rsid w:val="008E518D"/>
    <w:rsid w:val="008E5DDB"/>
    <w:rsid w:val="008E60B5"/>
    <w:rsid w:val="008E60CB"/>
    <w:rsid w:val="008E6131"/>
    <w:rsid w:val="008E6494"/>
    <w:rsid w:val="008E67F6"/>
    <w:rsid w:val="008E6D03"/>
    <w:rsid w:val="008E6DFF"/>
    <w:rsid w:val="008E7098"/>
    <w:rsid w:val="008E797B"/>
    <w:rsid w:val="008E7992"/>
    <w:rsid w:val="008E79BC"/>
    <w:rsid w:val="008F0065"/>
    <w:rsid w:val="008F01C7"/>
    <w:rsid w:val="008F0327"/>
    <w:rsid w:val="008F0BCC"/>
    <w:rsid w:val="008F1210"/>
    <w:rsid w:val="008F1BD1"/>
    <w:rsid w:val="008F1D13"/>
    <w:rsid w:val="008F1D27"/>
    <w:rsid w:val="008F1F0F"/>
    <w:rsid w:val="008F1FA5"/>
    <w:rsid w:val="008F22AB"/>
    <w:rsid w:val="008F28A8"/>
    <w:rsid w:val="008F28AA"/>
    <w:rsid w:val="008F2C69"/>
    <w:rsid w:val="008F329A"/>
    <w:rsid w:val="008F411B"/>
    <w:rsid w:val="008F4806"/>
    <w:rsid w:val="008F4900"/>
    <w:rsid w:val="008F4A21"/>
    <w:rsid w:val="008F56AB"/>
    <w:rsid w:val="008F5D6E"/>
    <w:rsid w:val="008F5DB3"/>
    <w:rsid w:val="008F5EDF"/>
    <w:rsid w:val="008F6098"/>
    <w:rsid w:val="008F6686"/>
    <w:rsid w:val="008F692D"/>
    <w:rsid w:val="008F696E"/>
    <w:rsid w:val="008F6971"/>
    <w:rsid w:val="008F699F"/>
    <w:rsid w:val="008F6D25"/>
    <w:rsid w:val="008F77C1"/>
    <w:rsid w:val="008F788C"/>
    <w:rsid w:val="008F7901"/>
    <w:rsid w:val="008F7C0C"/>
    <w:rsid w:val="0090034D"/>
    <w:rsid w:val="009005AE"/>
    <w:rsid w:val="0090084B"/>
    <w:rsid w:val="00901C34"/>
    <w:rsid w:val="00901D5F"/>
    <w:rsid w:val="00901DCB"/>
    <w:rsid w:val="009020CC"/>
    <w:rsid w:val="009020F2"/>
    <w:rsid w:val="009021DC"/>
    <w:rsid w:val="0090225A"/>
    <w:rsid w:val="0090235F"/>
    <w:rsid w:val="0090277B"/>
    <w:rsid w:val="00902DBF"/>
    <w:rsid w:val="009031AE"/>
    <w:rsid w:val="00903809"/>
    <w:rsid w:val="00903DA8"/>
    <w:rsid w:val="00903E1F"/>
    <w:rsid w:val="00903FB2"/>
    <w:rsid w:val="00903FD1"/>
    <w:rsid w:val="009040C6"/>
    <w:rsid w:val="009048CF"/>
    <w:rsid w:val="0090497A"/>
    <w:rsid w:val="00904FFE"/>
    <w:rsid w:val="0090510A"/>
    <w:rsid w:val="0090573D"/>
    <w:rsid w:val="009068C9"/>
    <w:rsid w:val="00906B01"/>
    <w:rsid w:val="009070DF"/>
    <w:rsid w:val="00907351"/>
    <w:rsid w:val="0090742C"/>
    <w:rsid w:val="0090795C"/>
    <w:rsid w:val="00907AFA"/>
    <w:rsid w:val="00907EDE"/>
    <w:rsid w:val="00907FB4"/>
    <w:rsid w:val="00907FFA"/>
    <w:rsid w:val="009101F6"/>
    <w:rsid w:val="009102AF"/>
    <w:rsid w:val="00910631"/>
    <w:rsid w:val="00910CB0"/>
    <w:rsid w:val="00911399"/>
    <w:rsid w:val="0091150D"/>
    <w:rsid w:val="00911ABE"/>
    <w:rsid w:val="00911CC9"/>
    <w:rsid w:val="00911DAE"/>
    <w:rsid w:val="00911E96"/>
    <w:rsid w:val="00911FB8"/>
    <w:rsid w:val="0091205D"/>
    <w:rsid w:val="0091243F"/>
    <w:rsid w:val="009129E7"/>
    <w:rsid w:val="00912B41"/>
    <w:rsid w:val="00912CAD"/>
    <w:rsid w:val="00912E8A"/>
    <w:rsid w:val="00912FE4"/>
    <w:rsid w:val="00913135"/>
    <w:rsid w:val="009136F0"/>
    <w:rsid w:val="00913BB2"/>
    <w:rsid w:val="00914786"/>
    <w:rsid w:val="00914F33"/>
    <w:rsid w:val="00915B45"/>
    <w:rsid w:val="009161C4"/>
    <w:rsid w:val="0091639D"/>
    <w:rsid w:val="0091641A"/>
    <w:rsid w:val="009164F7"/>
    <w:rsid w:val="00916D9A"/>
    <w:rsid w:val="00916DFF"/>
    <w:rsid w:val="009172C1"/>
    <w:rsid w:val="00917443"/>
    <w:rsid w:val="009177F5"/>
    <w:rsid w:val="00917D66"/>
    <w:rsid w:val="00917FD2"/>
    <w:rsid w:val="00920326"/>
    <w:rsid w:val="0092050F"/>
    <w:rsid w:val="00920C79"/>
    <w:rsid w:val="00920D2E"/>
    <w:rsid w:val="009211D2"/>
    <w:rsid w:val="00921492"/>
    <w:rsid w:val="009215BE"/>
    <w:rsid w:val="00921660"/>
    <w:rsid w:val="009216B1"/>
    <w:rsid w:val="00921A3B"/>
    <w:rsid w:val="0092244E"/>
    <w:rsid w:val="00922495"/>
    <w:rsid w:val="00922A16"/>
    <w:rsid w:val="00922F0A"/>
    <w:rsid w:val="009238DA"/>
    <w:rsid w:val="00923CC6"/>
    <w:rsid w:val="00923FAC"/>
    <w:rsid w:val="00924497"/>
    <w:rsid w:val="0092527E"/>
    <w:rsid w:val="00925405"/>
    <w:rsid w:val="0092542A"/>
    <w:rsid w:val="009259C9"/>
    <w:rsid w:val="00925B64"/>
    <w:rsid w:val="00925C7A"/>
    <w:rsid w:val="00925D99"/>
    <w:rsid w:val="0092611A"/>
    <w:rsid w:val="00926124"/>
    <w:rsid w:val="00926A0D"/>
    <w:rsid w:val="009274A4"/>
    <w:rsid w:val="0092788D"/>
    <w:rsid w:val="00927A3F"/>
    <w:rsid w:val="00927E0F"/>
    <w:rsid w:val="0093041E"/>
    <w:rsid w:val="00930642"/>
    <w:rsid w:val="009307E4"/>
    <w:rsid w:val="00930D30"/>
    <w:rsid w:val="00930E5E"/>
    <w:rsid w:val="009310B7"/>
    <w:rsid w:val="0093167A"/>
    <w:rsid w:val="00931B42"/>
    <w:rsid w:val="00931F52"/>
    <w:rsid w:val="009324BE"/>
    <w:rsid w:val="009324EA"/>
    <w:rsid w:val="009325B8"/>
    <w:rsid w:val="0093263D"/>
    <w:rsid w:val="0093279C"/>
    <w:rsid w:val="00933613"/>
    <w:rsid w:val="009336EB"/>
    <w:rsid w:val="0093374F"/>
    <w:rsid w:val="009337DF"/>
    <w:rsid w:val="00933B2C"/>
    <w:rsid w:val="00934199"/>
    <w:rsid w:val="0093517E"/>
    <w:rsid w:val="0093517F"/>
    <w:rsid w:val="009355D0"/>
    <w:rsid w:val="00936176"/>
    <w:rsid w:val="00936204"/>
    <w:rsid w:val="0093656C"/>
    <w:rsid w:val="00936695"/>
    <w:rsid w:val="00937073"/>
    <w:rsid w:val="009372A3"/>
    <w:rsid w:val="00940066"/>
    <w:rsid w:val="0094022F"/>
    <w:rsid w:val="0094035A"/>
    <w:rsid w:val="00940540"/>
    <w:rsid w:val="00941A9F"/>
    <w:rsid w:val="00941C53"/>
    <w:rsid w:val="00941C67"/>
    <w:rsid w:val="00941DA8"/>
    <w:rsid w:val="00941DE7"/>
    <w:rsid w:val="00941E39"/>
    <w:rsid w:val="009422FF"/>
    <w:rsid w:val="00942334"/>
    <w:rsid w:val="0094285D"/>
    <w:rsid w:val="009429C5"/>
    <w:rsid w:val="00943265"/>
    <w:rsid w:val="009432B5"/>
    <w:rsid w:val="00943471"/>
    <w:rsid w:val="0094366E"/>
    <w:rsid w:val="00943B70"/>
    <w:rsid w:val="0094414E"/>
    <w:rsid w:val="00944BB9"/>
    <w:rsid w:val="00944E91"/>
    <w:rsid w:val="009451E6"/>
    <w:rsid w:val="009454B0"/>
    <w:rsid w:val="009455A0"/>
    <w:rsid w:val="009456B2"/>
    <w:rsid w:val="00945F92"/>
    <w:rsid w:val="0094631C"/>
    <w:rsid w:val="009466C0"/>
    <w:rsid w:val="00946864"/>
    <w:rsid w:val="009468F6"/>
    <w:rsid w:val="00946D7E"/>
    <w:rsid w:val="0094733B"/>
    <w:rsid w:val="00950184"/>
    <w:rsid w:val="009503FF"/>
    <w:rsid w:val="00950494"/>
    <w:rsid w:val="00950F73"/>
    <w:rsid w:val="009511B7"/>
    <w:rsid w:val="00951248"/>
    <w:rsid w:val="0095126B"/>
    <w:rsid w:val="009513E5"/>
    <w:rsid w:val="00951BFD"/>
    <w:rsid w:val="0095251B"/>
    <w:rsid w:val="0095285A"/>
    <w:rsid w:val="00952A34"/>
    <w:rsid w:val="00952C22"/>
    <w:rsid w:val="00952E10"/>
    <w:rsid w:val="00952F9E"/>
    <w:rsid w:val="0095301D"/>
    <w:rsid w:val="0095302F"/>
    <w:rsid w:val="00953343"/>
    <w:rsid w:val="009534A0"/>
    <w:rsid w:val="009535A2"/>
    <w:rsid w:val="00953AF5"/>
    <w:rsid w:val="009544BD"/>
    <w:rsid w:val="0095459A"/>
    <w:rsid w:val="00954955"/>
    <w:rsid w:val="00954AEA"/>
    <w:rsid w:val="00955127"/>
    <w:rsid w:val="009553AA"/>
    <w:rsid w:val="00955418"/>
    <w:rsid w:val="0095543E"/>
    <w:rsid w:val="0095555D"/>
    <w:rsid w:val="009557AC"/>
    <w:rsid w:val="00955E90"/>
    <w:rsid w:val="009563E9"/>
    <w:rsid w:val="009563FE"/>
    <w:rsid w:val="00956F33"/>
    <w:rsid w:val="00956F76"/>
    <w:rsid w:val="009576B2"/>
    <w:rsid w:val="009576F8"/>
    <w:rsid w:val="00957AB0"/>
    <w:rsid w:val="0096027B"/>
    <w:rsid w:val="0096034D"/>
    <w:rsid w:val="009604D9"/>
    <w:rsid w:val="00960831"/>
    <w:rsid w:val="00960B75"/>
    <w:rsid w:val="00960DE6"/>
    <w:rsid w:val="00960EED"/>
    <w:rsid w:val="00961912"/>
    <w:rsid w:val="009619D7"/>
    <w:rsid w:val="00961B68"/>
    <w:rsid w:val="00961FCD"/>
    <w:rsid w:val="00961FD3"/>
    <w:rsid w:val="00962393"/>
    <w:rsid w:val="00962A97"/>
    <w:rsid w:val="00962C2F"/>
    <w:rsid w:val="009630CD"/>
    <w:rsid w:val="00963390"/>
    <w:rsid w:val="009633BF"/>
    <w:rsid w:val="00963476"/>
    <w:rsid w:val="009634AD"/>
    <w:rsid w:val="00963B7A"/>
    <w:rsid w:val="00963D9E"/>
    <w:rsid w:val="00963E12"/>
    <w:rsid w:val="00963EF0"/>
    <w:rsid w:val="00963F1A"/>
    <w:rsid w:val="00963F33"/>
    <w:rsid w:val="0096450F"/>
    <w:rsid w:val="00964531"/>
    <w:rsid w:val="00964927"/>
    <w:rsid w:val="00964DE4"/>
    <w:rsid w:val="0096596B"/>
    <w:rsid w:val="00965ADA"/>
    <w:rsid w:val="00965F4A"/>
    <w:rsid w:val="0096660A"/>
    <w:rsid w:val="00966BC7"/>
    <w:rsid w:val="00967219"/>
    <w:rsid w:val="00967277"/>
    <w:rsid w:val="009672DA"/>
    <w:rsid w:val="00967515"/>
    <w:rsid w:val="0096777A"/>
    <w:rsid w:val="00970376"/>
    <w:rsid w:val="00970F4B"/>
    <w:rsid w:val="00970F5F"/>
    <w:rsid w:val="0097154E"/>
    <w:rsid w:val="00971CF8"/>
    <w:rsid w:val="009721D3"/>
    <w:rsid w:val="009726F6"/>
    <w:rsid w:val="00972743"/>
    <w:rsid w:val="00972B13"/>
    <w:rsid w:val="00972C8E"/>
    <w:rsid w:val="00973722"/>
    <w:rsid w:val="0097396A"/>
    <w:rsid w:val="00973ADC"/>
    <w:rsid w:val="00973C68"/>
    <w:rsid w:val="00973CEF"/>
    <w:rsid w:val="00973EF8"/>
    <w:rsid w:val="0097414F"/>
    <w:rsid w:val="00974A91"/>
    <w:rsid w:val="00974AAC"/>
    <w:rsid w:val="00974C75"/>
    <w:rsid w:val="00974E6A"/>
    <w:rsid w:val="0097504D"/>
    <w:rsid w:val="009751B4"/>
    <w:rsid w:val="00976071"/>
    <w:rsid w:val="0097607F"/>
    <w:rsid w:val="009761E2"/>
    <w:rsid w:val="0097665D"/>
    <w:rsid w:val="0097685E"/>
    <w:rsid w:val="00976ACA"/>
    <w:rsid w:val="00976BD2"/>
    <w:rsid w:val="00976EB7"/>
    <w:rsid w:val="00976EE6"/>
    <w:rsid w:val="00976F24"/>
    <w:rsid w:val="00977B5B"/>
    <w:rsid w:val="00977D99"/>
    <w:rsid w:val="00977DA0"/>
    <w:rsid w:val="009801E1"/>
    <w:rsid w:val="00981002"/>
    <w:rsid w:val="009811D6"/>
    <w:rsid w:val="00981569"/>
    <w:rsid w:val="009815E5"/>
    <w:rsid w:val="00981B30"/>
    <w:rsid w:val="00981E80"/>
    <w:rsid w:val="009827EC"/>
    <w:rsid w:val="00983860"/>
    <w:rsid w:val="009838B0"/>
    <w:rsid w:val="0098487F"/>
    <w:rsid w:val="00984F56"/>
    <w:rsid w:val="0098513C"/>
    <w:rsid w:val="00985675"/>
    <w:rsid w:val="009856ED"/>
    <w:rsid w:val="00985CDC"/>
    <w:rsid w:val="00985D4A"/>
    <w:rsid w:val="00986A6D"/>
    <w:rsid w:val="00986B6F"/>
    <w:rsid w:val="00986CC1"/>
    <w:rsid w:val="00986E9D"/>
    <w:rsid w:val="00986EDA"/>
    <w:rsid w:val="00986FD5"/>
    <w:rsid w:val="00987629"/>
    <w:rsid w:val="009878C8"/>
    <w:rsid w:val="00987985"/>
    <w:rsid w:val="00987E01"/>
    <w:rsid w:val="00990CD9"/>
    <w:rsid w:val="00991DF8"/>
    <w:rsid w:val="009921E7"/>
    <w:rsid w:val="00992325"/>
    <w:rsid w:val="0099238F"/>
    <w:rsid w:val="0099257E"/>
    <w:rsid w:val="009928D7"/>
    <w:rsid w:val="00992A25"/>
    <w:rsid w:val="00992F9F"/>
    <w:rsid w:val="009931BB"/>
    <w:rsid w:val="009932B5"/>
    <w:rsid w:val="0099333C"/>
    <w:rsid w:val="00993665"/>
    <w:rsid w:val="00993B79"/>
    <w:rsid w:val="00994115"/>
    <w:rsid w:val="009946E4"/>
    <w:rsid w:val="00994B50"/>
    <w:rsid w:val="00994F47"/>
    <w:rsid w:val="00994F79"/>
    <w:rsid w:val="009951EF"/>
    <w:rsid w:val="0099578C"/>
    <w:rsid w:val="00995E86"/>
    <w:rsid w:val="00995F0C"/>
    <w:rsid w:val="00996188"/>
    <w:rsid w:val="00996381"/>
    <w:rsid w:val="00996786"/>
    <w:rsid w:val="00996826"/>
    <w:rsid w:val="00996908"/>
    <w:rsid w:val="009973ED"/>
    <w:rsid w:val="009A00EF"/>
    <w:rsid w:val="009A02C8"/>
    <w:rsid w:val="009A094F"/>
    <w:rsid w:val="009A0A4B"/>
    <w:rsid w:val="009A0AFB"/>
    <w:rsid w:val="009A0E60"/>
    <w:rsid w:val="009A0E96"/>
    <w:rsid w:val="009A106B"/>
    <w:rsid w:val="009A10CF"/>
    <w:rsid w:val="009A1469"/>
    <w:rsid w:val="009A1679"/>
    <w:rsid w:val="009A1C3F"/>
    <w:rsid w:val="009A1C5F"/>
    <w:rsid w:val="009A1EDD"/>
    <w:rsid w:val="009A1EE7"/>
    <w:rsid w:val="009A1F04"/>
    <w:rsid w:val="009A2200"/>
    <w:rsid w:val="009A23CD"/>
    <w:rsid w:val="009A2706"/>
    <w:rsid w:val="009A3119"/>
    <w:rsid w:val="009A326A"/>
    <w:rsid w:val="009A3DC7"/>
    <w:rsid w:val="009A40B0"/>
    <w:rsid w:val="009A41BF"/>
    <w:rsid w:val="009A41E5"/>
    <w:rsid w:val="009A4720"/>
    <w:rsid w:val="009A4CA2"/>
    <w:rsid w:val="009A538A"/>
    <w:rsid w:val="009A616A"/>
    <w:rsid w:val="009A64F7"/>
    <w:rsid w:val="009A6D9E"/>
    <w:rsid w:val="009A6DDC"/>
    <w:rsid w:val="009A70AC"/>
    <w:rsid w:val="009A75A0"/>
    <w:rsid w:val="009A7849"/>
    <w:rsid w:val="009A7DCF"/>
    <w:rsid w:val="009B065C"/>
    <w:rsid w:val="009B0825"/>
    <w:rsid w:val="009B0D9D"/>
    <w:rsid w:val="009B0E94"/>
    <w:rsid w:val="009B125E"/>
    <w:rsid w:val="009B1534"/>
    <w:rsid w:val="009B16F1"/>
    <w:rsid w:val="009B1FF2"/>
    <w:rsid w:val="009B226B"/>
    <w:rsid w:val="009B2367"/>
    <w:rsid w:val="009B26CD"/>
    <w:rsid w:val="009B2D6B"/>
    <w:rsid w:val="009B31FB"/>
    <w:rsid w:val="009B3722"/>
    <w:rsid w:val="009B377F"/>
    <w:rsid w:val="009B3E35"/>
    <w:rsid w:val="009B4035"/>
    <w:rsid w:val="009B4051"/>
    <w:rsid w:val="009B46F1"/>
    <w:rsid w:val="009B4CAE"/>
    <w:rsid w:val="009B566F"/>
    <w:rsid w:val="009B56D7"/>
    <w:rsid w:val="009B59AC"/>
    <w:rsid w:val="009B59B8"/>
    <w:rsid w:val="009B5A14"/>
    <w:rsid w:val="009B5A1A"/>
    <w:rsid w:val="009B5A70"/>
    <w:rsid w:val="009B71A8"/>
    <w:rsid w:val="009B7272"/>
    <w:rsid w:val="009B76BC"/>
    <w:rsid w:val="009B7968"/>
    <w:rsid w:val="009B7DA4"/>
    <w:rsid w:val="009B7FA0"/>
    <w:rsid w:val="009C02FB"/>
    <w:rsid w:val="009C0460"/>
    <w:rsid w:val="009C0545"/>
    <w:rsid w:val="009C0B53"/>
    <w:rsid w:val="009C0EFB"/>
    <w:rsid w:val="009C135D"/>
    <w:rsid w:val="009C150E"/>
    <w:rsid w:val="009C19F3"/>
    <w:rsid w:val="009C1BF5"/>
    <w:rsid w:val="009C2BBF"/>
    <w:rsid w:val="009C2E61"/>
    <w:rsid w:val="009C3185"/>
    <w:rsid w:val="009C31A8"/>
    <w:rsid w:val="009C3BA2"/>
    <w:rsid w:val="009C3CD3"/>
    <w:rsid w:val="009C3D7D"/>
    <w:rsid w:val="009C3F78"/>
    <w:rsid w:val="009C3FED"/>
    <w:rsid w:val="009C421E"/>
    <w:rsid w:val="009C46B4"/>
    <w:rsid w:val="009C4B45"/>
    <w:rsid w:val="009C4C9A"/>
    <w:rsid w:val="009C5337"/>
    <w:rsid w:val="009C5A1E"/>
    <w:rsid w:val="009C5A68"/>
    <w:rsid w:val="009C5D03"/>
    <w:rsid w:val="009C5E6A"/>
    <w:rsid w:val="009C6487"/>
    <w:rsid w:val="009C65C3"/>
    <w:rsid w:val="009C6616"/>
    <w:rsid w:val="009C67C6"/>
    <w:rsid w:val="009C68E8"/>
    <w:rsid w:val="009C6B28"/>
    <w:rsid w:val="009C6C05"/>
    <w:rsid w:val="009C738B"/>
    <w:rsid w:val="009C7898"/>
    <w:rsid w:val="009C7E99"/>
    <w:rsid w:val="009D0388"/>
    <w:rsid w:val="009D0BEF"/>
    <w:rsid w:val="009D0E04"/>
    <w:rsid w:val="009D0E80"/>
    <w:rsid w:val="009D1098"/>
    <w:rsid w:val="009D1634"/>
    <w:rsid w:val="009D1B5D"/>
    <w:rsid w:val="009D1DFF"/>
    <w:rsid w:val="009D2374"/>
    <w:rsid w:val="009D23C1"/>
    <w:rsid w:val="009D2505"/>
    <w:rsid w:val="009D2560"/>
    <w:rsid w:val="009D26D1"/>
    <w:rsid w:val="009D2A25"/>
    <w:rsid w:val="009D2D77"/>
    <w:rsid w:val="009D373C"/>
    <w:rsid w:val="009D4000"/>
    <w:rsid w:val="009D409A"/>
    <w:rsid w:val="009D46B4"/>
    <w:rsid w:val="009D4827"/>
    <w:rsid w:val="009D508C"/>
    <w:rsid w:val="009D51B8"/>
    <w:rsid w:val="009D6080"/>
    <w:rsid w:val="009D60DA"/>
    <w:rsid w:val="009D60F4"/>
    <w:rsid w:val="009D6128"/>
    <w:rsid w:val="009D67C9"/>
    <w:rsid w:val="009D6CCA"/>
    <w:rsid w:val="009D6E8C"/>
    <w:rsid w:val="009D72FA"/>
    <w:rsid w:val="009D772A"/>
    <w:rsid w:val="009D78D9"/>
    <w:rsid w:val="009D796B"/>
    <w:rsid w:val="009D7F4F"/>
    <w:rsid w:val="009D7FE7"/>
    <w:rsid w:val="009E04AC"/>
    <w:rsid w:val="009E0772"/>
    <w:rsid w:val="009E0C38"/>
    <w:rsid w:val="009E0ED3"/>
    <w:rsid w:val="009E0F72"/>
    <w:rsid w:val="009E17B7"/>
    <w:rsid w:val="009E1846"/>
    <w:rsid w:val="009E1962"/>
    <w:rsid w:val="009E1BC9"/>
    <w:rsid w:val="009E237F"/>
    <w:rsid w:val="009E23AD"/>
    <w:rsid w:val="009E29AA"/>
    <w:rsid w:val="009E2E80"/>
    <w:rsid w:val="009E318F"/>
    <w:rsid w:val="009E38D3"/>
    <w:rsid w:val="009E3ADB"/>
    <w:rsid w:val="009E4162"/>
    <w:rsid w:val="009E44C4"/>
    <w:rsid w:val="009E4EDA"/>
    <w:rsid w:val="009E5C09"/>
    <w:rsid w:val="009E5CBF"/>
    <w:rsid w:val="009E5EC0"/>
    <w:rsid w:val="009E6693"/>
    <w:rsid w:val="009E6892"/>
    <w:rsid w:val="009E69DC"/>
    <w:rsid w:val="009E6A93"/>
    <w:rsid w:val="009E6CE1"/>
    <w:rsid w:val="009E6E5F"/>
    <w:rsid w:val="009E77AA"/>
    <w:rsid w:val="009E780A"/>
    <w:rsid w:val="009E78B2"/>
    <w:rsid w:val="009E7A15"/>
    <w:rsid w:val="009F0476"/>
    <w:rsid w:val="009F059B"/>
    <w:rsid w:val="009F0ABD"/>
    <w:rsid w:val="009F1121"/>
    <w:rsid w:val="009F1153"/>
    <w:rsid w:val="009F1245"/>
    <w:rsid w:val="009F1B64"/>
    <w:rsid w:val="009F1BF6"/>
    <w:rsid w:val="009F1CB8"/>
    <w:rsid w:val="009F20EA"/>
    <w:rsid w:val="009F21F0"/>
    <w:rsid w:val="009F271D"/>
    <w:rsid w:val="009F2865"/>
    <w:rsid w:val="009F2DB3"/>
    <w:rsid w:val="009F3099"/>
    <w:rsid w:val="009F31D1"/>
    <w:rsid w:val="009F325A"/>
    <w:rsid w:val="009F34D8"/>
    <w:rsid w:val="009F3586"/>
    <w:rsid w:val="009F3C44"/>
    <w:rsid w:val="009F3F59"/>
    <w:rsid w:val="009F3F9B"/>
    <w:rsid w:val="009F437F"/>
    <w:rsid w:val="009F4567"/>
    <w:rsid w:val="009F49BD"/>
    <w:rsid w:val="009F4A47"/>
    <w:rsid w:val="009F5709"/>
    <w:rsid w:val="009F5ADE"/>
    <w:rsid w:val="009F63BB"/>
    <w:rsid w:val="009F66C4"/>
    <w:rsid w:val="009F6E8B"/>
    <w:rsid w:val="009F6FC0"/>
    <w:rsid w:val="009F70F7"/>
    <w:rsid w:val="009F7536"/>
    <w:rsid w:val="009F75EA"/>
    <w:rsid w:val="009F76E9"/>
    <w:rsid w:val="009F7B3C"/>
    <w:rsid w:val="009F7FBC"/>
    <w:rsid w:val="00A00387"/>
    <w:rsid w:val="00A00456"/>
    <w:rsid w:val="00A00CB5"/>
    <w:rsid w:val="00A00F02"/>
    <w:rsid w:val="00A015BF"/>
    <w:rsid w:val="00A01836"/>
    <w:rsid w:val="00A01A7C"/>
    <w:rsid w:val="00A01CB7"/>
    <w:rsid w:val="00A01F20"/>
    <w:rsid w:val="00A02151"/>
    <w:rsid w:val="00A0218B"/>
    <w:rsid w:val="00A02217"/>
    <w:rsid w:val="00A0248C"/>
    <w:rsid w:val="00A027AB"/>
    <w:rsid w:val="00A02E6D"/>
    <w:rsid w:val="00A02F00"/>
    <w:rsid w:val="00A038B4"/>
    <w:rsid w:val="00A038BF"/>
    <w:rsid w:val="00A03D73"/>
    <w:rsid w:val="00A03EB7"/>
    <w:rsid w:val="00A0401A"/>
    <w:rsid w:val="00A040EB"/>
    <w:rsid w:val="00A048BD"/>
    <w:rsid w:val="00A04A15"/>
    <w:rsid w:val="00A05482"/>
    <w:rsid w:val="00A055A6"/>
    <w:rsid w:val="00A05A7F"/>
    <w:rsid w:val="00A05AAB"/>
    <w:rsid w:val="00A05BA6"/>
    <w:rsid w:val="00A05BAD"/>
    <w:rsid w:val="00A05D77"/>
    <w:rsid w:val="00A06380"/>
    <w:rsid w:val="00A06638"/>
    <w:rsid w:val="00A069B0"/>
    <w:rsid w:val="00A06DDF"/>
    <w:rsid w:val="00A07045"/>
    <w:rsid w:val="00A073D9"/>
    <w:rsid w:val="00A0769E"/>
    <w:rsid w:val="00A077B0"/>
    <w:rsid w:val="00A07C0F"/>
    <w:rsid w:val="00A10381"/>
    <w:rsid w:val="00A10505"/>
    <w:rsid w:val="00A105F8"/>
    <w:rsid w:val="00A10709"/>
    <w:rsid w:val="00A10788"/>
    <w:rsid w:val="00A10BCA"/>
    <w:rsid w:val="00A10C43"/>
    <w:rsid w:val="00A10CE4"/>
    <w:rsid w:val="00A10E81"/>
    <w:rsid w:val="00A115CE"/>
    <w:rsid w:val="00A118EC"/>
    <w:rsid w:val="00A11AA4"/>
    <w:rsid w:val="00A11B76"/>
    <w:rsid w:val="00A11EB9"/>
    <w:rsid w:val="00A12350"/>
    <w:rsid w:val="00A12730"/>
    <w:rsid w:val="00A128AA"/>
    <w:rsid w:val="00A12D3A"/>
    <w:rsid w:val="00A13064"/>
    <w:rsid w:val="00A131C1"/>
    <w:rsid w:val="00A13BBD"/>
    <w:rsid w:val="00A13E24"/>
    <w:rsid w:val="00A13EB5"/>
    <w:rsid w:val="00A141DB"/>
    <w:rsid w:val="00A14711"/>
    <w:rsid w:val="00A14D02"/>
    <w:rsid w:val="00A153FC"/>
    <w:rsid w:val="00A1563E"/>
    <w:rsid w:val="00A15AEF"/>
    <w:rsid w:val="00A15F0C"/>
    <w:rsid w:val="00A16310"/>
    <w:rsid w:val="00A164AA"/>
    <w:rsid w:val="00A1695C"/>
    <w:rsid w:val="00A16B21"/>
    <w:rsid w:val="00A1703E"/>
    <w:rsid w:val="00A171BF"/>
    <w:rsid w:val="00A1725C"/>
    <w:rsid w:val="00A17987"/>
    <w:rsid w:val="00A17BB4"/>
    <w:rsid w:val="00A2018B"/>
    <w:rsid w:val="00A20288"/>
    <w:rsid w:val="00A204AC"/>
    <w:rsid w:val="00A2062F"/>
    <w:rsid w:val="00A20B92"/>
    <w:rsid w:val="00A20BF6"/>
    <w:rsid w:val="00A20CED"/>
    <w:rsid w:val="00A20D67"/>
    <w:rsid w:val="00A20EA5"/>
    <w:rsid w:val="00A2142E"/>
    <w:rsid w:val="00A214F0"/>
    <w:rsid w:val="00A21668"/>
    <w:rsid w:val="00A21A58"/>
    <w:rsid w:val="00A21B00"/>
    <w:rsid w:val="00A21CCD"/>
    <w:rsid w:val="00A22059"/>
    <w:rsid w:val="00A22453"/>
    <w:rsid w:val="00A22A4C"/>
    <w:rsid w:val="00A22BE1"/>
    <w:rsid w:val="00A22F11"/>
    <w:rsid w:val="00A23112"/>
    <w:rsid w:val="00A232BB"/>
    <w:rsid w:val="00A233E5"/>
    <w:rsid w:val="00A2390C"/>
    <w:rsid w:val="00A23AD7"/>
    <w:rsid w:val="00A23DC5"/>
    <w:rsid w:val="00A23F7C"/>
    <w:rsid w:val="00A247F8"/>
    <w:rsid w:val="00A24883"/>
    <w:rsid w:val="00A24DD5"/>
    <w:rsid w:val="00A2521D"/>
    <w:rsid w:val="00A253BC"/>
    <w:rsid w:val="00A255C0"/>
    <w:rsid w:val="00A25633"/>
    <w:rsid w:val="00A2585E"/>
    <w:rsid w:val="00A2618D"/>
    <w:rsid w:val="00A263E9"/>
    <w:rsid w:val="00A26DFA"/>
    <w:rsid w:val="00A26E03"/>
    <w:rsid w:val="00A2763F"/>
    <w:rsid w:val="00A27D51"/>
    <w:rsid w:val="00A27D85"/>
    <w:rsid w:val="00A27E90"/>
    <w:rsid w:val="00A304FE"/>
    <w:rsid w:val="00A307AF"/>
    <w:rsid w:val="00A31D0E"/>
    <w:rsid w:val="00A3249B"/>
    <w:rsid w:val="00A3269D"/>
    <w:rsid w:val="00A3286C"/>
    <w:rsid w:val="00A3352F"/>
    <w:rsid w:val="00A33735"/>
    <w:rsid w:val="00A337AF"/>
    <w:rsid w:val="00A3385D"/>
    <w:rsid w:val="00A33DA0"/>
    <w:rsid w:val="00A33E18"/>
    <w:rsid w:val="00A33E35"/>
    <w:rsid w:val="00A340E5"/>
    <w:rsid w:val="00A342B5"/>
    <w:rsid w:val="00A34531"/>
    <w:rsid w:val="00A3457B"/>
    <w:rsid w:val="00A3493C"/>
    <w:rsid w:val="00A349FA"/>
    <w:rsid w:val="00A35157"/>
    <w:rsid w:val="00A351AA"/>
    <w:rsid w:val="00A35240"/>
    <w:rsid w:val="00A35499"/>
    <w:rsid w:val="00A360C2"/>
    <w:rsid w:val="00A36109"/>
    <w:rsid w:val="00A3610B"/>
    <w:rsid w:val="00A362AA"/>
    <w:rsid w:val="00A3685D"/>
    <w:rsid w:val="00A370D6"/>
    <w:rsid w:val="00A37349"/>
    <w:rsid w:val="00A37363"/>
    <w:rsid w:val="00A373D9"/>
    <w:rsid w:val="00A374AD"/>
    <w:rsid w:val="00A374BB"/>
    <w:rsid w:val="00A377C8"/>
    <w:rsid w:val="00A37BBD"/>
    <w:rsid w:val="00A37D87"/>
    <w:rsid w:val="00A37DED"/>
    <w:rsid w:val="00A37EC8"/>
    <w:rsid w:val="00A40313"/>
    <w:rsid w:val="00A409ED"/>
    <w:rsid w:val="00A40C14"/>
    <w:rsid w:val="00A40D39"/>
    <w:rsid w:val="00A41313"/>
    <w:rsid w:val="00A41421"/>
    <w:rsid w:val="00A415D9"/>
    <w:rsid w:val="00A41A8B"/>
    <w:rsid w:val="00A41C74"/>
    <w:rsid w:val="00A4201D"/>
    <w:rsid w:val="00A421A4"/>
    <w:rsid w:val="00A4241D"/>
    <w:rsid w:val="00A436B0"/>
    <w:rsid w:val="00A43C09"/>
    <w:rsid w:val="00A44181"/>
    <w:rsid w:val="00A44324"/>
    <w:rsid w:val="00A4449C"/>
    <w:rsid w:val="00A447F8"/>
    <w:rsid w:val="00A44A96"/>
    <w:rsid w:val="00A450C9"/>
    <w:rsid w:val="00A450CE"/>
    <w:rsid w:val="00A454D8"/>
    <w:rsid w:val="00A45536"/>
    <w:rsid w:val="00A459E2"/>
    <w:rsid w:val="00A45E51"/>
    <w:rsid w:val="00A45F0A"/>
    <w:rsid w:val="00A4677A"/>
    <w:rsid w:val="00A46902"/>
    <w:rsid w:val="00A46B89"/>
    <w:rsid w:val="00A46BC3"/>
    <w:rsid w:val="00A50559"/>
    <w:rsid w:val="00A5068E"/>
    <w:rsid w:val="00A50EDC"/>
    <w:rsid w:val="00A5117D"/>
    <w:rsid w:val="00A511D5"/>
    <w:rsid w:val="00A513A1"/>
    <w:rsid w:val="00A51482"/>
    <w:rsid w:val="00A51787"/>
    <w:rsid w:val="00A517EC"/>
    <w:rsid w:val="00A51848"/>
    <w:rsid w:val="00A519D9"/>
    <w:rsid w:val="00A51A95"/>
    <w:rsid w:val="00A51B12"/>
    <w:rsid w:val="00A51B54"/>
    <w:rsid w:val="00A520D9"/>
    <w:rsid w:val="00A526F8"/>
    <w:rsid w:val="00A5332A"/>
    <w:rsid w:val="00A5363A"/>
    <w:rsid w:val="00A538F0"/>
    <w:rsid w:val="00A546E4"/>
    <w:rsid w:val="00A54778"/>
    <w:rsid w:val="00A5493F"/>
    <w:rsid w:val="00A54AA6"/>
    <w:rsid w:val="00A54C26"/>
    <w:rsid w:val="00A54CBA"/>
    <w:rsid w:val="00A54EE3"/>
    <w:rsid w:val="00A55557"/>
    <w:rsid w:val="00A55652"/>
    <w:rsid w:val="00A561C9"/>
    <w:rsid w:val="00A5677B"/>
    <w:rsid w:val="00A57129"/>
    <w:rsid w:val="00A577AE"/>
    <w:rsid w:val="00A601E4"/>
    <w:rsid w:val="00A60CDE"/>
    <w:rsid w:val="00A612EF"/>
    <w:rsid w:val="00A615ED"/>
    <w:rsid w:val="00A618F9"/>
    <w:rsid w:val="00A61F7F"/>
    <w:rsid w:val="00A623BC"/>
    <w:rsid w:val="00A625B6"/>
    <w:rsid w:val="00A626AF"/>
    <w:rsid w:val="00A627C5"/>
    <w:rsid w:val="00A62A9C"/>
    <w:rsid w:val="00A62DEF"/>
    <w:rsid w:val="00A6387C"/>
    <w:rsid w:val="00A63AAC"/>
    <w:rsid w:val="00A64047"/>
    <w:rsid w:val="00A64539"/>
    <w:rsid w:val="00A646B4"/>
    <w:rsid w:val="00A65FC9"/>
    <w:rsid w:val="00A665C6"/>
    <w:rsid w:val="00A66600"/>
    <w:rsid w:val="00A6660B"/>
    <w:rsid w:val="00A6687C"/>
    <w:rsid w:val="00A669CA"/>
    <w:rsid w:val="00A66F37"/>
    <w:rsid w:val="00A671E0"/>
    <w:rsid w:val="00A67254"/>
    <w:rsid w:val="00A677D7"/>
    <w:rsid w:val="00A67AA4"/>
    <w:rsid w:val="00A67AFB"/>
    <w:rsid w:val="00A67CFD"/>
    <w:rsid w:val="00A67FB4"/>
    <w:rsid w:val="00A7012F"/>
    <w:rsid w:val="00A70FA6"/>
    <w:rsid w:val="00A7137B"/>
    <w:rsid w:val="00A714AA"/>
    <w:rsid w:val="00A71F29"/>
    <w:rsid w:val="00A71F5A"/>
    <w:rsid w:val="00A72275"/>
    <w:rsid w:val="00A723EE"/>
    <w:rsid w:val="00A725B9"/>
    <w:rsid w:val="00A7275C"/>
    <w:rsid w:val="00A72BBD"/>
    <w:rsid w:val="00A73250"/>
    <w:rsid w:val="00A7337F"/>
    <w:rsid w:val="00A73914"/>
    <w:rsid w:val="00A73B0F"/>
    <w:rsid w:val="00A74293"/>
    <w:rsid w:val="00A74402"/>
    <w:rsid w:val="00A74810"/>
    <w:rsid w:val="00A748BA"/>
    <w:rsid w:val="00A749A4"/>
    <w:rsid w:val="00A756EF"/>
    <w:rsid w:val="00A75BB3"/>
    <w:rsid w:val="00A75EE3"/>
    <w:rsid w:val="00A76177"/>
    <w:rsid w:val="00A76AD2"/>
    <w:rsid w:val="00A76D31"/>
    <w:rsid w:val="00A7703D"/>
    <w:rsid w:val="00A77356"/>
    <w:rsid w:val="00A77EB1"/>
    <w:rsid w:val="00A80491"/>
    <w:rsid w:val="00A80596"/>
    <w:rsid w:val="00A809F5"/>
    <w:rsid w:val="00A80A04"/>
    <w:rsid w:val="00A80D9C"/>
    <w:rsid w:val="00A80EFB"/>
    <w:rsid w:val="00A81F15"/>
    <w:rsid w:val="00A81F8E"/>
    <w:rsid w:val="00A8299B"/>
    <w:rsid w:val="00A83158"/>
    <w:rsid w:val="00A8342A"/>
    <w:rsid w:val="00A83482"/>
    <w:rsid w:val="00A8371B"/>
    <w:rsid w:val="00A83907"/>
    <w:rsid w:val="00A83BE9"/>
    <w:rsid w:val="00A84059"/>
    <w:rsid w:val="00A84082"/>
    <w:rsid w:val="00A84578"/>
    <w:rsid w:val="00A84693"/>
    <w:rsid w:val="00A84FEE"/>
    <w:rsid w:val="00A85332"/>
    <w:rsid w:val="00A85D91"/>
    <w:rsid w:val="00A85DF4"/>
    <w:rsid w:val="00A85FDA"/>
    <w:rsid w:val="00A8616E"/>
    <w:rsid w:val="00A867CE"/>
    <w:rsid w:val="00A86B49"/>
    <w:rsid w:val="00A872A4"/>
    <w:rsid w:val="00A91375"/>
    <w:rsid w:val="00A91734"/>
    <w:rsid w:val="00A91C25"/>
    <w:rsid w:val="00A91E1A"/>
    <w:rsid w:val="00A920C4"/>
    <w:rsid w:val="00A92314"/>
    <w:rsid w:val="00A92600"/>
    <w:rsid w:val="00A928D5"/>
    <w:rsid w:val="00A92EE3"/>
    <w:rsid w:val="00A92F17"/>
    <w:rsid w:val="00A93A9E"/>
    <w:rsid w:val="00A93D61"/>
    <w:rsid w:val="00A93DB0"/>
    <w:rsid w:val="00A94008"/>
    <w:rsid w:val="00A9538B"/>
    <w:rsid w:val="00A95395"/>
    <w:rsid w:val="00A95A67"/>
    <w:rsid w:val="00A95BB7"/>
    <w:rsid w:val="00A96434"/>
    <w:rsid w:val="00A96C4B"/>
    <w:rsid w:val="00A97038"/>
    <w:rsid w:val="00A97173"/>
    <w:rsid w:val="00A97299"/>
    <w:rsid w:val="00A97736"/>
    <w:rsid w:val="00A97738"/>
    <w:rsid w:val="00A97878"/>
    <w:rsid w:val="00A9795D"/>
    <w:rsid w:val="00A97B7E"/>
    <w:rsid w:val="00A97FD6"/>
    <w:rsid w:val="00AA05F3"/>
    <w:rsid w:val="00AA09FA"/>
    <w:rsid w:val="00AA0E39"/>
    <w:rsid w:val="00AA201A"/>
    <w:rsid w:val="00AA2D3A"/>
    <w:rsid w:val="00AA3060"/>
    <w:rsid w:val="00AA3240"/>
    <w:rsid w:val="00AA3B15"/>
    <w:rsid w:val="00AA3CD5"/>
    <w:rsid w:val="00AA3E58"/>
    <w:rsid w:val="00AA42B2"/>
    <w:rsid w:val="00AA5B36"/>
    <w:rsid w:val="00AA5DB5"/>
    <w:rsid w:val="00AA62A8"/>
    <w:rsid w:val="00AA6C68"/>
    <w:rsid w:val="00AA6EA9"/>
    <w:rsid w:val="00AA7810"/>
    <w:rsid w:val="00AB005C"/>
    <w:rsid w:val="00AB042B"/>
    <w:rsid w:val="00AB09A8"/>
    <w:rsid w:val="00AB0CC2"/>
    <w:rsid w:val="00AB0CF3"/>
    <w:rsid w:val="00AB0F1E"/>
    <w:rsid w:val="00AB11B7"/>
    <w:rsid w:val="00AB19B7"/>
    <w:rsid w:val="00AB1ABB"/>
    <w:rsid w:val="00AB2039"/>
    <w:rsid w:val="00AB26EC"/>
    <w:rsid w:val="00AB2B4E"/>
    <w:rsid w:val="00AB2CAF"/>
    <w:rsid w:val="00AB2D4C"/>
    <w:rsid w:val="00AB2EBA"/>
    <w:rsid w:val="00AB34EE"/>
    <w:rsid w:val="00AB35F2"/>
    <w:rsid w:val="00AB3699"/>
    <w:rsid w:val="00AB4107"/>
    <w:rsid w:val="00AB482C"/>
    <w:rsid w:val="00AB4A6B"/>
    <w:rsid w:val="00AB4B79"/>
    <w:rsid w:val="00AB4FAB"/>
    <w:rsid w:val="00AB557E"/>
    <w:rsid w:val="00AB5B1B"/>
    <w:rsid w:val="00AB5C94"/>
    <w:rsid w:val="00AB5E8B"/>
    <w:rsid w:val="00AB6411"/>
    <w:rsid w:val="00AB6953"/>
    <w:rsid w:val="00AB6CB1"/>
    <w:rsid w:val="00AB6FC7"/>
    <w:rsid w:val="00AB7526"/>
    <w:rsid w:val="00AB7C6E"/>
    <w:rsid w:val="00AB7CC1"/>
    <w:rsid w:val="00AB7E7A"/>
    <w:rsid w:val="00AC01B5"/>
    <w:rsid w:val="00AC04A1"/>
    <w:rsid w:val="00AC0820"/>
    <w:rsid w:val="00AC0996"/>
    <w:rsid w:val="00AC0F31"/>
    <w:rsid w:val="00AC0FAC"/>
    <w:rsid w:val="00AC1223"/>
    <w:rsid w:val="00AC1239"/>
    <w:rsid w:val="00AC1466"/>
    <w:rsid w:val="00AC15C1"/>
    <w:rsid w:val="00AC211A"/>
    <w:rsid w:val="00AC2946"/>
    <w:rsid w:val="00AC2962"/>
    <w:rsid w:val="00AC2CF8"/>
    <w:rsid w:val="00AC4916"/>
    <w:rsid w:val="00AC4DBC"/>
    <w:rsid w:val="00AC516D"/>
    <w:rsid w:val="00AC5969"/>
    <w:rsid w:val="00AC5CE7"/>
    <w:rsid w:val="00AC5DB1"/>
    <w:rsid w:val="00AC6581"/>
    <w:rsid w:val="00AC677D"/>
    <w:rsid w:val="00AC6A6A"/>
    <w:rsid w:val="00AC6DA1"/>
    <w:rsid w:val="00AC6EE4"/>
    <w:rsid w:val="00AC6F28"/>
    <w:rsid w:val="00AC7122"/>
    <w:rsid w:val="00AC72DC"/>
    <w:rsid w:val="00AC730A"/>
    <w:rsid w:val="00AC7739"/>
    <w:rsid w:val="00AC7949"/>
    <w:rsid w:val="00AC7AC3"/>
    <w:rsid w:val="00AC7B23"/>
    <w:rsid w:val="00AD07D0"/>
    <w:rsid w:val="00AD0A28"/>
    <w:rsid w:val="00AD0CB4"/>
    <w:rsid w:val="00AD0F32"/>
    <w:rsid w:val="00AD1367"/>
    <w:rsid w:val="00AD147E"/>
    <w:rsid w:val="00AD1ECF"/>
    <w:rsid w:val="00AD2097"/>
    <w:rsid w:val="00AD2205"/>
    <w:rsid w:val="00AD2584"/>
    <w:rsid w:val="00AD283A"/>
    <w:rsid w:val="00AD2AE9"/>
    <w:rsid w:val="00AD2DB2"/>
    <w:rsid w:val="00AD31B4"/>
    <w:rsid w:val="00AD34C4"/>
    <w:rsid w:val="00AD3616"/>
    <w:rsid w:val="00AD3D15"/>
    <w:rsid w:val="00AD3FB7"/>
    <w:rsid w:val="00AD43B3"/>
    <w:rsid w:val="00AD47E9"/>
    <w:rsid w:val="00AD4CE8"/>
    <w:rsid w:val="00AD4ED9"/>
    <w:rsid w:val="00AD4F41"/>
    <w:rsid w:val="00AD50CE"/>
    <w:rsid w:val="00AD55B5"/>
    <w:rsid w:val="00AD56E8"/>
    <w:rsid w:val="00AD57B7"/>
    <w:rsid w:val="00AD5D99"/>
    <w:rsid w:val="00AD5F11"/>
    <w:rsid w:val="00AD5F7F"/>
    <w:rsid w:val="00AD6083"/>
    <w:rsid w:val="00AD670B"/>
    <w:rsid w:val="00AD704F"/>
    <w:rsid w:val="00AD7165"/>
    <w:rsid w:val="00AD75F2"/>
    <w:rsid w:val="00AD7873"/>
    <w:rsid w:val="00AE00D3"/>
    <w:rsid w:val="00AE02B0"/>
    <w:rsid w:val="00AE09ED"/>
    <w:rsid w:val="00AE0A73"/>
    <w:rsid w:val="00AE0E35"/>
    <w:rsid w:val="00AE11AA"/>
    <w:rsid w:val="00AE1B78"/>
    <w:rsid w:val="00AE1FD8"/>
    <w:rsid w:val="00AE2560"/>
    <w:rsid w:val="00AE258D"/>
    <w:rsid w:val="00AE270E"/>
    <w:rsid w:val="00AE27D6"/>
    <w:rsid w:val="00AE293C"/>
    <w:rsid w:val="00AE2C15"/>
    <w:rsid w:val="00AE2C9C"/>
    <w:rsid w:val="00AE2D37"/>
    <w:rsid w:val="00AE2D4C"/>
    <w:rsid w:val="00AE3005"/>
    <w:rsid w:val="00AE303C"/>
    <w:rsid w:val="00AE36BF"/>
    <w:rsid w:val="00AE36DC"/>
    <w:rsid w:val="00AE3741"/>
    <w:rsid w:val="00AE37B1"/>
    <w:rsid w:val="00AE3B66"/>
    <w:rsid w:val="00AE3E2C"/>
    <w:rsid w:val="00AE3EF6"/>
    <w:rsid w:val="00AE585A"/>
    <w:rsid w:val="00AE5C3B"/>
    <w:rsid w:val="00AE5C89"/>
    <w:rsid w:val="00AE5E36"/>
    <w:rsid w:val="00AE60C8"/>
    <w:rsid w:val="00AE6129"/>
    <w:rsid w:val="00AE64AE"/>
    <w:rsid w:val="00AE6826"/>
    <w:rsid w:val="00AE68D0"/>
    <w:rsid w:val="00AE6A18"/>
    <w:rsid w:val="00AE6A6F"/>
    <w:rsid w:val="00AE6BBD"/>
    <w:rsid w:val="00AE722A"/>
    <w:rsid w:val="00AE7B19"/>
    <w:rsid w:val="00AE7C2E"/>
    <w:rsid w:val="00AF049F"/>
    <w:rsid w:val="00AF135B"/>
    <w:rsid w:val="00AF1A07"/>
    <w:rsid w:val="00AF1B2D"/>
    <w:rsid w:val="00AF1DFA"/>
    <w:rsid w:val="00AF1EFA"/>
    <w:rsid w:val="00AF21F3"/>
    <w:rsid w:val="00AF255F"/>
    <w:rsid w:val="00AF2B53"/>
    <w:rsid w:val="00AF2CB4"/>
    <w:rsid w:val="00AF2DA0"/>
    <w:rsid w:val="00AF2DCF"/>
    <w:rsid w:val="00AF2ED7"/>
    <w:rsid w:val="00AF3308"/>
    <w:rsid w:val="00AF34D7"/>
    <w:rsid w:val="00AF356C"/>
    <w:rsid w:val="00AF405D"/>
    <w:rsid w:val="00AF505A"/>
    <w:rsid w:val="00AF5336"/>
    <w:rsid w:val="00AF621F"/>
    <w:rsid w:val="00AF6D8E"/>
    <w:rsid w:val="00AF74B5"/>
    <w:rsid w:val="00AF77B0"/>
    <w:rsid w:val="00AF79AA"/>
    <w:rsid w:val="00AF7AA1"/>
    <w:rsid w:val="00AF7C10"/>
    <w:rsid w:val="00B001E0"/>
    <w:rsid w:val="00B005FF"/>
    <w:rsid w:val="00B0066B"/>
    <w:rsid w:val="00B007AD"/>
    <w:rsid w:val="00B00D87"/>
    <w:rsid w:val="00B00E18"/>
    <w:rsid w:val="00B012EF"/>
    <w:rsid w:val="00B0156D"/>
    <w:rsid w:val="00B01D2A"/>
    <w:rsid w:val="00B0204A"/>
    <w:rsid w:val="00B025D5"/>
    <w:rsid w:val="00B02D75"/>
    <w:rsid w:val="00B033F8"/>
    <w:rsid w:val="00B03626"/>
    <w:rsid w:val="00B03746"/>
    <w:rsid w:val="00B03CED"/>
    <w:rsid w:val="00B04096"/>
    <w:rsid w:val="00B04E7D"/>
    <w:rsid w:val="00B051A7"/>
    <w:rsid w:val="00B05646"/>
    <w:rsid w:val="00B056DD"/>
    <w:rsid w:val="00B0674F"/>
    <w:rsid w:val="00B06C8D"/>
    <w:rsid w:val="00B06F95"/>
    <w:rsid w:val="00B0741C"/>
    <w:rsid w:val="00B0742F"/>
    <w:rsid w:val="00B07434"/>
    <w:rsid w:val="00B07C56"/>
    <w:rsid w:val="00B07E6C"/>
    <w:rsid w:val="00B07E94"/>
    <w:rsid w:val="00B10378"/>
    <w:rsid w:val="00B1092A"/>
    <w:rsid w:val="00B10CFB"/>
    <w:rsid w:val="00B10E49"/>
    <w:rsid w:val="00B111B7"/>
    <w:rsid w:val="00B111C9"/>
    <w:rsid w:val="00B1120C"/>
    <w:rsid w:val="00B112A0"/>
    <w:rsid w:val="00B1169C"/>
    <w:rsid w:val="00B11EE8"/>
    <w:rsid w:val="00B12EC4"/>
    <w:rsid w:val="00B1303B"/>
    <w:rsid w:val="00B13118"/>
    <w:rsid w:val="00B13535"/>
    <w:rsid w:val="00B13A48"/>
    <w:rsid w:val="00B13B07"/>
    <w:rsid w:val="00B13C20"/>
    <w:rsid w:val="00B14156"/>
    <w:rsid w:val="00B14194"/>
    <w:rsid w:val="00B147B5"/>
    <w:rsid w:val="00B14B05"/>
    <w:rsid w:val="00B14F7B"/>
    <w:rsid w:val="00B1515E"/>
    <w:rsid w:val="00B1518F"/>
    <w:rsid w:val="00B15387"/>
    <w:rsid w:val="00B154FD"/>
    <w:rsid w:val="00B15718"/>
    <w:rsid w:val="00B15972"/>
    <w:rsid w:val="00B159C9"/>
    <w:rsid w:val="00B16737"/>
    <w:rsid w:val="00B16B42"/>
    <w:rsid w:val="00B1785A"/>
    <w:rsid w:val="00B17A10"/>
    <w:rsid w:val="00B205BA"/>
    <w:rsid w:val="00B20B53"/>
    <w:rsid w:val="00B20D2C"/>
    <w:rsid w:val="00B20F94"/>
    <w:rsid w:val="00B21227"/>
    <w:rsid w:val="00B21804"/>
    <w:rsid w:val="00B2182D"/>
    <w:rsid w:val="00B21940"/>
    <w:rsid w:val="00B21A34"/>
    <w:rsid w:val="00B22548"/>
    <w:rsid w:val="00B22884"/>
    <w:rsid w:val="00B22B0F"/>
    <w:rsid w:val="00B22BCC"/>
    <w:rsid w:val="00B22C6B"/>
    <w:rsid w:val="00B22EB5"/>
    <w:rsid w:val="00B23A14"/>
    <w:rsid w:val="00B23ABA"/>
    <w:rsid w:val="00B24A4B"/>
    <w:rsid w:val="00B24C22"/>
    <w:rsid w:val="00B26095"/>
    <w:rsid w:val="00B26BB7"/>
    <w:rsid w:val="00B26C5F"/>
    <w:rsid w:val="00B26D55"/>
    <w:rsid w:val="00B27212"/>
    <w:rsid w:val="00B274CF"/>
    <w:rsid w:val="00B27577"/>
    <w:rsid w:val="00B27B54"/>
    <w:rsid w:val="00B27E66"/>
    <w:rsid w:val="00B30405"/>
    <w:rsid w:val="00B3079F"/>
    <w:rsid w:val="00B30AF5"/>
    <w:rsid w:val="00B30F51"/>
    <w:rsid w:val="00B30F53"/>
    <w:rsid w:val="00B3110E"/>
    <w:rsid w:val="00B317E4"/>
    <w:rsid w:val="00B31D98"/>
    <w:rsid w:val="00B322D9"/>
    <w:rsid w:val="00B3232C"/>
    <w:rsid w:val="00B3238C"/>
    <w:rsid w:val="00B327A1"/>
    <w:rsid w:val="00B32A15"/>
    <w:rsid w:val="00B331E8"/>
    <w:rsid w:val="00B332DA"/>
    <w:rsid w:val="00B335B2"/>
    <w:rsid w:val="00B33CAC"/>
    <w:rsid w:val="00B33CFB"/>
    <w:rsid w:val="00B341C9"/>
    <w:rsid w:val="00B342D8"/>
    <w:rsid w:val="00B34801"/>
    <w:rsid w:val="00B3521D"/>
    <w:rsid w:val="00B35496"/>
    <w:rsid w:val="00B354ED"/>
    <w:rsid w:val="00B356ED"/>
    <w:rsid w:val="00B35A7B"/>
    <w:rsid w:val="00B35AEB"/>
    <w:rsid w:val="00B35B52"/>
    <w:rsid w:val="00B36354"/>
    <w:rsid w:val="00B36435"/>
    <w:rsid w:val="00B36926"/>
    <w:rsid w:val="00B36B33"/>
    <w:rsid w:val="00B36F07"/>
    <w:rsid w:val="00B37155"/>
    <w:rsid w:val="00B378F8"/>
    <w:rsid w:val="00B37A3D"/>
    <w:rsid w:val="00B37E2C"/>
    <w:rsid w:val="00B40B89"/>
    <w:rsid w:val="00B40D5E"/>
    <w:rsid w:val="00B40E5D"/>
    <w:rsid w:val="00B41B96"/>
    <w:rsid w:val="00B41C6C"/>
    <w:rsid w:val="00B41D18"/>
    <w:rsid w:val="00B41FDD"/>
    <w:rsid w:val="00B42378"/>
    <w:rsid w:val="00B425A8"/>
    <w:rsid w:val="00B42A97"/>
    <w:rsid w:val="00B42BD6"/>
    <w:rsid w:val="00B43849"/>
    <w:rsid w:val="00B43B8A"/>
    <w:rsid w:val="00B43D9D"/>
    <w:rsid w:val="00B4408B"/>
    <w:rsid w:val="00B44504"/>
    <w:rsid w:val="00B45036"/>
    <w:rsid w:val="00B454A6"/>
    <w:rsid w:val="00B454BD"/>
    <w:rsid w:val="00B45639"/>
    <w:rsid w:val="00B4568B"/>
    <w:rsid w:val="00B45770"/>
    <w:rsid w:val="00B45C07"/>
    <w:rsid w:val="00B45CE1"/>
    <w:rsid w:val="00B4629E"/>
    <w:rsid w:val="00B4657B"/>
    <w:rsid w:val="00B466CC"/>
    <w:rsid w:val="00B4673B"/>
    <w:rsid w:val="00B469FA"/>
    <w:rsid w:val="00B46FA6"/>
    <w:rsid w:val="00B470E4"/>
    <w:rsid w:val="00B47949"/>
    <w:rsid w:val="00B47C92"/>
    <w:rsid w:val="00B50338"/>
    <w:rsid w:val="00B50400"/>
    <w:rsid w:val="00B50601"/>
    <w:rsid w:val="00B50A52"/>
    <w:rsid w:val="00B50C48"/>
    <w:rsid w:val="00B50D2E"/>
    <w:rsid w:val="00B50DF1"/>
    <w:rsid w:val="00B5130D"/>
    <w:rsid w:val="00B51367"/>
    <w:rsid w:val="00B51572"/>
    <w:rsid w:val="00B51D61"/>
    <w:rsid w:val="00B52888"/>
    <w:rsid w:val="00B529A5"/>
    <w:rsid w:val="00B5314B"/>
    <w:rsid w:val="00B5324F"/>
    <w:rsid w:val="00B5329C"/>
    <w:rsid w:val="00B535E4"/>
    <w:rsid w:val="00B53633"/>
    <w:rsid w:val="00B53954"/>
    <w:rsid w:val="00B53979"/>
    <w:rsid w:val="00B53CB8"/>
    <w:rsid w:val="00B53CE2"/>
    <w:rsid w:val="00B53DF2"/>
    <w:rsid w:val="00B54329"/>
    <w:rsid w:val="00B545ED"/>
    <w:rsid w:val="00B54902"/>
    <w:rsid w:val="00B54E64"/>
    <w:rsid w:val="00B552A0"/>
    <w:rsid w:val="00B55342"/>
    <w:rsid w:val="00B55463"/>
    <w:rsid w:val="00B555B8"/>
    <w:rsid w:val="00B5560A"/>
    <w:rsid w:val="00B55A09"/>
    <w:rsid w:val="00B55AA4"/>
    <w:rsid w:val="00B56239"/>
    <w:rsid w:val="00B563FE"/>
    <w:rsid w:val="00B56528"/>
    <w:rsid w:val="00B565B3"/>
    <w:rsid w:val="00B56941"/>
    <w:rsid w:val="00B56B86"/>
    <w:rsid w:val="00B572B5"/>
    <w:rsid w:val="00B575A8"/>
    <w:rsid w:val="00B578A0"/>
    <w:rsid w:val="00B57D2A"/>
    <w:rsid w:val="00B57FC1"/>
    <w:rsid w:val="00B57FE4"/>
    <w:rsid w:val="00B600AA"/>
    <w:rsid w:val="00B609B6"/>
    <w:rsid w:val="00B60BE9"/>
    <w:rsid w:val="00B61004"/>
    <w:rsid w:val="00B6115D"/>
    <w:rsid w:val="00B612CC"/>
    <w:rsid w:val="00B616FF"/>
    <w:rsid w:val="00B6196E"/>
    <w:rsid w:val="00B61C6C"/>
    <w:rsid w:val="00B621D3"/>
    <w:rsid w:val="00B6231C"/>
    <w:rsid w:val="00B62423"/>
    <w:rsid w:val="00B6273F"/>
    <w:rsid w:val="00B63449"/>
    <w:rsid w:val="00B6357F"/>
    <w:rsid w:val="00B64534"/>
    <w:rsid w:val="00B64B5E"/>
    <w:rsid w:val="00B6513C"/>
    <w:rsid w:val="00B6540C"/>
    <w:rsid w:val="00B654BC"/>
    <w:rsid w:val="00B655A5"/>
    <w:rsid w:val="00B65A92"/>
    <w:rsid w:val="00B65C90"/>
    <w:rsid w:val="00B663A6"/>
    <w:rsid w:val="00B664E6"/>
    <w:rsid w:val="00B66638"/>
    <w:rsid w:val="00B6680B"/>
    <w:rsid w:val="00B66B0F"/>
    <w:rsid w:val="00B66CFF"/>
    <w:rsid w:val="00B66F0A"/>
    <w:rsid w:val="00B6745A"/>
    <w:rsid w:val="00B67974"/>
    <w:rsid w:val="00B67A94"/>
    <w:rsid w:val="00B67C2E"/>
    <w:rsid w:val="00B67E4B"/>
    <w:rsid w:val="00B702E7"/>
    <w:rsid w:val="00B70D3E"/>
    <w:rsid w:val="00B70FDF"/>
    <w:rsid w:val="00B714DA"/>
    <w:rsid w:val="00B71501"/>
    <w:rsid w:val="00B717D9"/>
    <w:rsid w:val="00B71A25"/>
    <w:rsid w:val="00B71E4C"/>
    <w:rsid w:val="00B71F37"/>
    <w:rsid w:val="00B71FE2"/>
    <w:rsid w:val="00B72490"/>
    <w:rsid w:val="00B72A0B"/>
    <w:rsid w:val="00B74015"/>
    <w:rsid w:val="00B747E0"/>
    <w:rsid w:val="00B74AB9"/>
    <w:rsid w:val="00B753DA"/>
    <w:rsid w:val="00B7560B"/>
    <w:rsid w:val="00B75BC1"/>
    <w:rsid w:val="00B76236"/>
    <w:rsid w:val="00B767C8"/>
    <w:rsid w:val="00B76D90"/>
    <w:rsid w:val="00B76E12"/>
    <w:rsid w:val="00B77992"/>
    <w:rsid w:val="00B8027D"/>
    <w:rsid w:val="00B8086C"/>
    <w:rsid w:val="00B80A1F"/>
    <w:rsid w:val="00B80EFF"/>
    <w:rsid w:val="00B81128"/>
    <w:rsid w:val="00B81AB1"/>
    <w:rsid w:val="00B81F71"/>
    <w:rsid w:val="00B82149"/>
    <w:rsid w:val="00B82480"/>
    <w:rsid w:val="00B82492"/>
    <w:rsid w:val="00B82F53"/>
    <w:rsid w:val="00B83767"/>
    <w:rsid w:val="00B84077"/>
    <w:rsid w:val="00B850C9"/>
    <w:rsid w:val="00B85E69"/>
    <w:rsid w:val="00B860FE"/>
    <w:rsid w:val="00B865D1"/>
    <w:rsid w:val="00B86C74"/>
    <w:rsid w:val="00B872F8"/>
    <w:rsid w:val="00B87C7C"/>
    <w:rsid w:val="00B87DA5"/>
    <w:rsid w:val="00B90015"/>
    <w:rsid w:val="00B90831"/>
    <w:rsid w:val="00B90F09"/>
    <w:rsid w:val="00B9132B"/>
    <w:rsid w:val="00B91521"/>
    <w:rsid w:val="00B9193C"/>
    <w:rsid w:val="00B92397"/>
    <w:rsid w:val="00B924A7"/>
    <w:rsid w:val="00B924E3"/>
    <w:rsid w:val="00B92537"/>
    <w:rsid w:val="00B92680"/>
    <w:rsid w:val="00B928EA"/>
    <w:rsid w:val="00B92A00"/>
    <w:rsid w:val="00B92B99"/>
    <w:rsid w:val="00B92CF4"/>
    <w:rsid w:val="00B936FB"/>
    <w:rsid w:val="00B9393E"/>
    <w:rsid w:val="00B93D5B"/>
    <w:rsid w:val="00B94407"/>
    <w:rsid w:val="00B94440"/>
    <w:rsid w:val="00B949A8"/>
    <w:rsid w:val="00B94DCE"/>
    <w:rsid w:val="00B95292"/>
    <w:rsid w:val="00B9554A"/>
    <w:rsid w:val="00B955D2"/>
    <w:rsid w:val="00B958B9"/>
    <w:rsid w:val="00B95A92"/>
    <w:rsid w:val="00B95C87"/>
    <w:rsid w:val="00B95CB7"/>
    <w:rsid w:val="00B95FA2"/>
    <w:rsid w:val="00B963AD"/>
    <w:rsid w:val="00B965C3"/>
    <w:rsid w:val="00B966DB"/>
    <w:rsid w:val="00B966FF"/>
    <w:rsid w:val="00B96F02"/>
    <w:rsid w:val="00B9762C"/>
    <w:rsid w:val="00B97675"/>
    <w:rsid w:val="00B976ED"/>
    <w:rsid w:val="00B97BAA"/>
    <w:rsid w:val="00BA045D"/>
    <w:rsid w:val="00BA0741"/>
    <w:rsid w:val="00BA0F46"/>
    <w:rsid w:val="00BA16F3"/>
    <w:rsid w:val="00BA16FB"/>
    <w:rsid w:val="00BA26B5"/>
    <w:rsid w:val="00BA2809"/>
    <w:rsid w:val="00BA2C2C"/>
    <w:rsid w:val="00BA2CA0"/>
    <w:rsid w:val="00BA2DBA"/>
    <w:rsid w:val="00BA2E45"/>
    <w:rsid w:val="00BA3021"/>
    <w:rsid w:val="00BA3229"/>
    <w:rsid w:val="00BA346B"/>
    <w:rsid w:val="00BA3DFB"/>
    <w:rsid w:val="00BA3EC9"/>
    <w:rsid w:val="00BA3FDC"/>
    <w:rsid w:val="00BA4775"/>
    <w:rsid w:val="00BA4847"/>
    <w:rsid w:val="00BA4C1E"/>
    <w:rsid w:val="00BA4CA7"/>
    <w:rsid w:val="00BA4E7A"/>
    <w:rsid w:val="00BA4E89"/>
    <w:rsid w:val="00BA4FE9"/>
    <w:rsid w:val="00BA51A7"/>
    <w:rsid w:val="00BA56B6"/>
    <w:rsid w:val="00BA5A16"/>
    <w:rsid w:val="00BA5DDB"/>
    <w:rsid w:val="00BA6235"/>
    <w:rsid w:val="00BA63A0"/>
    <w:rsid w:val="00BA6A82"/>
    <w:rsid w:val="00BA6F01"/>
    <w:rsid w:val="00BA6F0A"/>
    <w:rsid w:val="00BA7186"/>
    <w:rsid w:val="00BA73E1"/>
    <w:rsid w:val="00BA7D68"/>
    <w:rsid w:val="00BB00EA"/>
    <w:rsid w:val="00BB0666"/>
    <w:rsid w:val="00BB0784"/>
    <w:rsid w:val="00BB07DE"/>
    <w:rsid w:val="00BB0881"/>
    <w:rsid w:val="00BB0A90"/>
    <w:rsid w:val="00BB0AB8"/>
    <w:rsid w:val="00BB0B06"/>
    <w:rsid w:val="00BB0C6E"/>
    <w:rsid w:val="00BB0CCF"/>
    <w:rsid w:val="00BB0DB5"/>
    <w:rsid w:val="00BB0EFF"/>
    <w:rsid w:val="00BB14C4"/>
    <w:rsid w:val="00BB1EA6"/>
    <w:rsid w:val="00BB270F"/>
    <w:rsid w:val="00BB29C7"/>
    <w:rsid w:val="00BB2B19"/>
    <w:rsid w:val="00BB2D7B"/>
    <w:rsid w:val="00BB2FD4"/>
    <w:rsid w:val="00BB3200"/>
    <w:rsid w:val="00BB3472"/>
    <w:rsid w:val="00BB3A89"/>
    <w:rsid w:val="00BB3FDB"/>
    <w:rsid w:val="00BB441D"/>
    <w:rsid w:val="00BB48F7"/>
    <w:rsid w:val="00BB4A57"/>
    <w:rsid w:val="00BB4A69"/>
    <w:rsid w:val="00BB4FCC"/>
    <w:rsid w:val="00BB50AC"/>
    <w:rsid w:val="00BB511D"/>
    <w:rsid w:val="00BB5223"/>
    <w:rsid w:val="00BB5397"/>
    <w:rsid w:val="00BB556B"/>
    <w:rsid w:val="00BB57CF"/>
    <w:rsid w:val="00BB5AE0"/>
    <w:rsid w:val="00BB5DAE"/>
    <w:rsid w:val="00BB5F2B"/>
    <w:rsid w:val="00BB6713"/>
    <w:rsid w:val="00BB6B4E"/>
    <w:rsid w:val="00BB6C3A"/>
    <w:rsid w:val="00BB6F88"/>
    <w:rsid w:val="00BB700F"/>
    <w:rsid w:val="00BB7554"/>
    <w:rsid w:val="00BB7D50"/>
    <w:rsid w:val="00BB7F7B"/>
    <w:rsid w:val="00BC0601"/>
    <w:rsid w:val="00BC0E41"/>
    <w:rsid w:val="00BC0EF0"/>
    <w:rsid w:val="00BC1463"/>
    <w:rsid w:val="00BC3815"/>
    <w:rsid w:val="00BC3E2C"/>
    <w:rsid w:val="00BC3F3F"/>
    <w:rsid w:val="00BC4123"/>
    <w:rsid w:val="00BC423B"/>
    <w:rsid w:val="00BC448A"/>
    <w:rsid w:val="00BC4679"/>
    <w:rsid w:val="00BC498B"/>
    <w:rsid w:val="00BC4B73"/>
    <w:rsid w:val="00BC4C91"/>
    <w:rsid w:val="00BC4E50"/>
    <w:rsid w:val="00BC51FD"/>
    <w:rsid w:val="00BC55F7"/>
    <w:rsid w:val="00BC5780"/>
    <w:rsid w:val="00BC630A"/>
    <w:rsid w:val="00BC6348"/>
    <w:rsid w:val="00BC65E1"/>
    <w:rsid w:val="00BC6605"/>
    <w:rsid w:val="00BC66EB"/>
    <w:rsid w:val="00BC6F87"/>
    <w:rsid w:val="00BC737F"/>
    <w:rsid w:val="00BC78AC"/>
    <w:rsid w:val="00BC7A03"/>
    <w:rsid w:val="00BC7ED0"/>
    <w:rsid w:val="00BD0098"/>
    <w:rsid w:val="00BD0222"/>
    <w:rsid w:val="00BD034A"/>
    <w:rsid w:val="00BD0499"/>
    <w:rsid w:val="00BD07FC"/>
    <w:rsid w:val="00BD0D45"/>
    <w:rsid w:val="00BD0F05"/>
    <w:rsid w:val="00BD0F3F"/>
    <w:rsid w:val="00BD11FF"/>
    <w:rsid w:val="00BD1702"/>
    <w:rsid w:val="00BD1BE3"/>
    <w:rsid w:val="00BD1CC5"/>
    <w:rsid w:val="00BD2321"/>
    <w:rsid w:val="00BD30FD"/>
    <w:rsid w:val="00BD3FBD"/>
    <w:rsid w:val="00BD402C"/>
    <w:rsid w:val="00BD40FF"/>
    <w:rsid w:val="00BD43DF"/>
    <w:rsid w:val="00BD47FE"/>
    <w:rsid w:val="00BD4900"/>
    <w:rsid w:val="00BD4A02"/>
    <w:rsid w:val="00BD4D91"/>
    <w:rsid w:val="00BD4DAF"/>
    <w:rsid w:val="00BD5150"/>
    <w:rsid w:val="00BD51BC"/>
    <w:rsid w:val="00BD55A2"/>
    <w:rsid w:val="00BD55C2"/>
    <w:rsid w:val="00BD58D3"/>
    <w:rsid w:val="00BD5974"/>
    <w:rsid w:val="00BD5A68"/>
    <w:rsid w:val="00BD5B5F"/>
    <w:rsid w:val="00BD5D4D"/>
    <w:rsid w:val="00BD5F69"/>
    <w:rsid w:val="00BD63A5"/>
    <w:rsid w:val="00BD67D5"/>
    <w:rsid w:val="00BD70E4"/>
    <w:rsid w:val="00BD7119"/>
    <w:rsid w:val="00BE0C12"/>
    <w:rsid w:val="00BE0FC9"/>
    <w:rsid w:val="00BE1208"/>
    <w:rsid w:val="00BE12A4"/>
    <w:rsid w:val="00BE18CC"/>
    <w:rsid w:val="00BE2119"/>
    <w:rsid w:val="00BE2225"/>
    <w:rsid w:val="00BE2641"/>
    <w:rsid w:val="00BE2B06"/>
    <w:rsid w:val="00BE2D1D"/>
    <w:rsid w:val="00BE403E"/>
    <w:rsid w:val="00BE4817"/>
    <w:rsid w:val="00BE5586"/>
    <w:rsid w:val="00BE56CC"/>
    <w:rsid w:val="00BE5724"/>
    <w:rsid w:val="00BE6351"/>
    <w:rsid w:val="00BE642F"/>
    <w:rsid w:val="00BE6453"/>
    <w:rsid w:val="00BE65C3"/>
    <w:rsid w:val="00BE6747"/>
    <w:rsid w:val="00BE6C7F"/>
    <w:rsid w:val="00BE7306"/>
    <w:rsid w:val="00BE7811"/>
    <w:rsid w:val="00BE7FF7"/>
    <w:rsid w:val="00BF00CA"/>
    <w:rsid w:val="00BF0BAE"/>
    <w:rsid w:val="00BF0F0D"/>
    <w:rsid w:val="00BF1489"/>
    <w:rsid w:val="00BF16E7"/>
    <w:rsid w:val="00BF1786"/>
    <w:rsid w:val="00BF18BB"/>
    <w:rsid w:val="00BF1A6D"/>
    <w:rsid w:val="00BF1C6B"/>
    <w:rsid w:val="00BF1C8E"/>
    <w:rsid w:val="00BF226E"/>
    <w:rsid w:val="00BF244F"/>
    <w:rsid w:val="00BF291F"/>
    <w:rsid w:val="00BF2949"/>
    <w:rsid w:val="00BF30E6"/>
    <w:rsid w:val="00BF31BB"/>
    <w:rsid w:val="00BF3436"/>
    <w:rsid w:val="00BF36E1"/>
    <w:rsid w:val="00BF40C0"/>
    <w:rsid w:val="00BF446E"/>
    <w:rsid w:val="00BF4A2B"/>
    <w:rsid w:val="00BF4C1C"/>
    <w:rsid w:val="00BF4C70"/>
    <w:rsid w:val="00BF576E"/>
    <w:rsid w:val="00BF5828"/>
    <w:rsid w:val="00BF596C"/>
    <w:rsid w:val="00BF64D1"/>
    <w:rsid w:val="00BF7162"/>
    <w:rsid w:val="00BF7308"/>
    <w:rsid w:val="00BF73C7"/>
    <w:rsid w:val="00BF751B"/>
    <w:rsid w:val="00C00066"/>
    <w:rsid w:val="00C00FC1"/>
    <w:rsid w:val="00C01BCD"/>
    <w:rsid w:val="00C01C42"/>
    <w:rsid w:val="00C0218D"/>
    <w:rsid w:val="00C0222D"/>
    <w:rsid w:val="00C02639"/>
    <w:rsid w:val="00C026D7"/>
    <w:rsid w:val="00C0278A"/>
    <w:rsid w:val="00C02CD4"/>
    <w:rsid w:val="00C02D6A"/>
    <w:rsid w:val="00C03090"/>
    <w:rsid w:val="00C03547"/>
    <w:rsid w:val="00C03736"/>
    <w:rsid w:val="00C0385B"/>
    <w:rsid w:val="00C03B83"/>
    <w:rsid w:val="00C03F29"/>
    <w:rsid w:val="00C041CE"/>
    <w:rsid w:val="00C04553"/>
    <w:rsid w:val="00C04F3B"/>
    <w:rsid w:val="00C04F79"/>
    <w:rsid w:val="00C05061"/>
    <w:rsid w:val="00C054AB"/>
    <w:rsid w:val="00C054E2"/>
    <w:rsid w:val="00C05F4A"/>
    <w:rsid w:val="00C06088"/>
    <w:rsid w:val="00C0635F"/>
    <w:rsid w:val="00C076EB"/>
    <w:rsid w:val="00C07A30"/>
    <w:rsid w:val="00C07C29"/>
    <w:rsid w:val="00C07C5F"/>
    <w:rsid w:val="00C07F31"/>
    <w:rsid w:val="00C100CF"/>
    <w:rsid w:val="00C105F1"/>
    <w:rsid w:val="00C1072E"/>
    <w:rsid w:val="00C11567"/>
    <w:rsid w:val="00C1162A"/>
    <w:rsid w:val="00C117A0"/>
    <w:rsid w:val="00C1185E"/>
    <w:rsid w:val="00C11BBF"/>
    <w:rsid w:val="00C11C65"/>
    <w:rsid w:val="00C11E72"/>
    <w:rsid w:val="00C11F6D"/>
    <w:rsid w:val="00C12517"/>
    <w:rsid w:val="00C1266E"/>
    <w:rsid w:val="00C12868"/>
    <w:rsid w:val="00C12E92"/>
    <w:rsid w:val="00C13750"/>
    <w:rsid w:val="00C14227"/>
    <w:rsid w:val="00C144FB"/>
    <w:rsid w:val="00C145BC"/>
    <w:rsid w:val="00C14C81"/>
    <w:rsid w:val="00C15346"/>
    <w:rsid w:val="00C154C1"/>
    <w:rsid w:val="00C16CED"/>
    <w:rsid w:val="00C16D64"/>
    <w:rsid w:val="00C1715A"/>
    <w:rsid w:val="00C1734A"/>
    <w:rsid w:val="00C175B8"/>
    <w:rsid w:val="00C176D8"/>
    <w:rsid w:val="00C17BAB"/>
    <w:rsid w:val="00C17C8A"/>
    <w:rsid w:val="00C2044D"/>
    <w:rsid w:val="00C20781"/>
    <w:rsid w:val="00C2081D"/>
    <w:rsid w:val="00C21049"/>
    <w:rsid w:val="00C2171F"/>
    <w:rsid w:val="00C21A24"/>
    <w:rsid w:val="00C21DA7"/>
    <w:rsid w:val="00C2230A"/>
    <w:rsid w:val="00C22475"/>
    <w:rsid w:val="00C22FCD"/>
    <w:rsid w:val="00C232AF"/>
    <w:rsid w:val="00C232FD"/>
    <w:rsid w:val="00C23B2F"/>
    <w:rsid w:val="00C23CBE"/>
    <w:rsid w:val="00C23D36"/>
    <w:rsid w:val="00C241B9"/>
    <w:rsid w:val="00C242DA"/>
    <w:rsid w:val="00C242EF"/>
    <w:rsid w:val="00C24F4F"/>
    <w:rsid w:val="00C251AB"/>
    <w:rsid w:val="00C25210"/>
    <w:rsid w:val="00C259F9"/>
    <w:rsid w:val="00C25A8C"/>
    <w:rsid w:val="00C25B62"/>
    <w:rsid w:val="00C25C8D"/>
    <w:rsid w:val="00C25F9C"/>
    <w:rsid w:val="00C264B7"/>
    <w:rsid w:val="00C26752"/>
    <w:rsid w:val="00C268AC"/>
    <w:rsid w:val="00C278C9"/>
    <w:rsid w:val="00C300E0"/>
    <w:rsid w:val="00C30B46"/>
    <w:rsid w:val="00C30F76"/>
    <w:rsid w:val="00C31352"/>
    <w:rsid w:val="00C315D8"/>
    <w:rsid w:val="00C31655"/>
    <w:rsid w:val="00C31D74"/>
    <w:rsid w:val="00C321E5"/>
    <w:rsid w:val="00C32B5B"/>
    <w:rsid w:val="00C32E88"/>
    <w:rsid w:val="00C330CB"/>
    <w:rsid w:val="00C33572"/>
    <w:rsid w:val="00C33CFA"/>
    <w:rsid w:val="00C33D4F"/>
    <w:rsid w:val="00C341D2"/>
    <w:rsid w:val="00C34205"/>
    <w:rsid w:val="00C344BC"/>
    <w:rsid w:val="00C34B83"/>
    <w:rsid w:val="00C34E08"/>
    <w:rsid w:val="00C350C2"/>
    <w:rsid w:val="00C355C6"/>
    <w:rsid w:val="00C35642"/>
    <w:rsid w:val="00C356C8"/>
    <w:rsid w:val="00C3590F"/>
    <w:rsid w:val="00C35A3B"/>
    <w:rsid w:val="00C35A4C"/>
    <w:rsid w:val="00C35FD2"/>
    <w:rsid w:val="00C36445"/>
    <w:rsid w:val="00C36780"/>
    <w:rsid w:val="00C36C0B"/>
    <w:rsid w:val="00C36C60"/>
    <w:rsid w:val="00C36F35"/>
    <w:rsid w:val="00C37348"/>
    <w:rsid w:val="00C374AA"/>
    <w:rsid w:val="00C379A2"/>
    <w:rsid w:val="00C379E4"/>
    <w:rsid w:val="00C40074"/>
    <w:rsid w:val="00C4008C"/>
    <w:rsid w:val="00C40738"/>
    <w:rsid w:val="00C40803"/>
    <w:rsid w:val="00C408E2"/>
    <w:rsid w:val="00C4096B"/>
    <w:rsid w:val="00C40C6D"/>
    <w:rsid w:val="00C40E6B"/>
    <w:rsid w:val="00C41214"/>
    <w:rsid w:val="00C41233"/>
    <w:rsid w:val="00C416D5"/>
    <w:rsid w:val="00C41843"/>
    <w:rsid w:val="00C41AFF"/>
    <w:rsid w:val="00C41BE7"/>
    <w:rsid w:val="00C41E93"/>
    <w:rsid w:val="00C41EE6"/>
    <w:rsid w:val="00C422FB"/>
    <w:rsid w:val="00C42358"/>
    <w:rsid w:val="00C42F4C"/>
    <w:rsid w:val="00C4321E"/>
    <w:rsid w:val="00C43476"/>
    <w:rsid w:val="00C439AA"/>
    <w:rsid w:val="00C43B66"/>
    <w:rsid w:val="00C43E5A"/>
    <w:rsid w:val="00C43E75"/>
    <w:rsid w:val="00C443FE"/>
    <w:rsid w:val="00C44BFC"/>
    <w:rsid w:val="00C44C83"/>
    <w:rsid w:val="00C4512A"/>
    <w:rsid w:val="00C451B2"/>
    <w:rsid w:val="00C452B1"/>
    <w:rsid w:val="00C46CDA"/>
    <w:rsid w:val="00C47295"/>
    <w:rsid w:val="00C472F9"/>
    <w:rsid w:val="00C50153"/>
    <w:rsid w:val="00C50164"/>
    <w:rsid w:val="00C50778"/>
    <w:rsid w:val="00C50980"/>
    <w:rsid w:val="00C50AC2"/>
    <w:rsid w:val="00C50EEA"/>
    <w:rsid w:val="00C511A6"/>
    <w:rsid w:val="00C5122D"/>
    <w:rsid w:val="00C51992"/>
    <w:rsid w:val="00C52121"/>
    <w:rsid w:val="00C521A3"/>
    <w:rsid w:val="00C523D2"/>
    <w:rsid w:val="00C52550"/>
    <w:rsid w:val="00C5274C"/>
    <w:rsid w:val="00C534D9"/>
    <w:rsid w:val="00C535B7"/>
    <w:rsid w:val="00C53621"/>
    <w:rsid w:val="00C5394A"/>
    <w:rsid w:val="00C53A6C"/>
    <w:rsid w:val="00C53DE6"/>
    <w:rsid w:val="00C543B7"/>
    <w:rsid w:val="00C544C3"/>
    <w:rsid w:val="00C548C8"/>
    <w:rsid w:val="00C549BF"/>
    <w:rsid w:val="00C54BAF"/>
    <w:rsid w:val="00C54CD0"/>
    <w:rsid w:val="00C556B9"/>
    <w:rsid w:val="00C55C83"/>
    <w:rsid w:val="00C55D8F"/>
    <w:rsid w:val="00C55DF3"/>
    <w:rsid w:val="00C55FA2"/>
    <w:rsid w:val="00C5606C"/>
    <w:rsid w:val="00C564A9"/>
    <w:rsid w:val="00C564C9"/>
    <w:rsid w:val="00C569A2"/>
    <w:rsid w:val="00C56A3F"/>
    <w:rsid w:val="00C57468"/>
    <w:rsid w:val="00C57714"/>
    <w:rsid w:val="00C57C00"/>
    <w:rsid w:val="00C57D81"/>
    <w:rsid w:val="00C57E29"/>
    <w:rsid w:val="00C57F47"/>
    <w:rsid w:val="00C60387"/>
    <w:rsid w:val="00C60906"/>
    <w:rsid w:val="00C60BD9"/>
    <w:rsid w:val="00C60C92"/>
    <w:rsid w:val="00C6136B"/>
    <w:rsid w:val="00C6137E"/>
    <w:rsid w:val="00C61B93"/>
    <w:rsid w:val="00C61F4D"/>
    <w:rsid w:val="00C621EB"/>
    <w:rsid w:val="00C62349"/>
    <w:rsid w:val="00C62382"/>
    <w:rsid w:val="00C6246D"/>
    <w:rsid w:val="00C62BB9"/>
    <w:rsid w:val="00C63620"/>
    <w:rsid w:val="00C63B6D"/>
    <w:rsid w:val="00C63E34"/>
    <w:rsid w:val="00C64130"/>
    <w:rsid w:val="00C64347"/>
    <w:rsid w:val="00C644FA"/>
    <w:rsid w:val="00C646E4"/>
    <w:rsid w:val="00C64939"/>
    <w:rsid w:val="00C64C95"/>
    <w:rsid w:val="00C65229"/>
    <w:rsid w:val="00C65364"/>
    <w:rsid w:val="00C65372"/>
    <w:rsid w:val="00C65ED4"/>
    <w:rsid w:val="00C65F02"/>
    <w:rsid w:val="00C6644A"/>
    <w:rsid w:val="00C668F4"/>
    <w:rsid w:val="00C67159"/>
    <w:rsid w:val="00C6745B"/>
    <w:rsid w:val="00C674AE"/>
    <w:rsid w:val="00C67CC3"/>
    <w:rsid w:val="00C67E42"/>
    <w:rsid w:val="00C67F04"/>
    <w:rsid w:val="00C70003"/>
    <w:rsid w:val="00C700CE"/>
    <w:rsid w:val="00C70514"/>
    <w:rsid w:val="00C709FC"/>
    <w:rsid w:val="00C70D5F"/>
    <w:rsid w:val="00C716C5"/>
    <w:rsid w:val="00C71793"/>
    <w:rsid w:val="00C722D4"/>
    <w:rsid w:val="00C72A78"/>
    <w:rsid w:val="00C72CDE"/>
    <w:rsid w:val="00C7306B"/>
    <w:rsid w:val="00C731A6"/>
    <w:rsid w:val="00C737E2"/>
    <w:rsid w:val="00C738CD"/>
    <w:rsid w:val="00C73CF8"/>
    <w:rsid w:val="00C73E03"/>
    <w:rsid w:val="00C73FD7"/>
    <w:rsid w:val="00C74020"/>
    <w:rsid w:val="00C74632"/>
    <w:rsid w:val="00C749FB"/>
    <w:rsid w:val="00C74AF0"/>
    <w:rsid w:val="00C74BB7"/>
    <w:rsid w:val="00C750EB"/>
    <w:rsid w:val="00C75829"/>
    <w:rsid w:val="00C75E4E"/>
    <w:rsid w:val="00C762D8"/>
    <w:rsid w:val="00C76B7A"/>
    <w:rsid w:val="00C76CB8"/>
    <w:rsid w:val="00C76FE5"/>
    <w:rsid w:val="00C7751F"/>
    <w:rsid w:val="00C7762A"/>
    <w:rsid w:val="00C77A3B"/>
    <w:rsid w:val="00C77BD2"/>
    <w:rsid w:val="00C77CAE"/>
    <w:rsid w:val="00C77F00"/>
    <w:rsid w:val="00C80473"/>
    <w:rsid w:val="00C805D6"/>
    <w:rsid w:val="00C80623"/>
    <w:rsid w:val="00C81168"/>
    <w:rsid w:val="00C81325"/>
    <w:rsid w:val="00C81368"/>
    <w:rsid w:val="00C81420"/>
    <w:rsid w:val="00C81942"/>
    <w:rsid w:val="00C8239C"/>
    <w:rsid w:val="00C8299D"/>
    <w:rsid w:val="00C82B3B"/>
    <w:rsid w:val="00C82E05"/>
    <w:rsid w:val="00C82F37"/>
    <w:rsid w:val="00C82F61"/>
    <w:rsid w:val="00C82FDC"/>
    <w:rsid w:val="00C83143"/>
    <w:rsid w:val="00C8343C"/>
    <w:rsid w:val="00C83775"/>
    <w:rsid w:val="00C83E8B"/>
    <w:rsid w:val="00C84461"/>
    <w:rsid w:val="00C84922"/>
    <w:rsid w:val="00C85065"/>
    <w:rsid w:val="00C85364"/>
    <w:rsid w:val="00C85495"/>
    <w:rsid w:val="00C8568B"/>
    <w:rsid w:val="00C85840"/>
    <w:rsid w:val="00C85B1B"/>
    <w:rsid w:val="00C85FBB"/>
    <w:rsid w:val="00C863CC"/>
    <w:rsid w:val="00C86CDB"/>
    <w:rsid w:val="00C86DD1"/>
    <w:rsid w:val="00C86DDD"/>
    <w:rsid w:val="00C870BF"/>
    <w:rsid w:val="00C87646"/>
    <w:rsid w:val="00C877E4"/>
    <w:rsid w:val="00C87C79"/>
    <w:rsid w:val="00C87D28"/>
    <w:rsid w:val="00C87F43"/>
    <w:rsid w:val="00C90013"/>
    <w:rsid w:val="00C90244"/>
    <w:rsid w:val="00C9048A"/>
    <w:rsid w:val="00C907E6"/>
    <w:rsid w:val="00C90AFB"/>
    <w:rsid w:val="00C90EF4"/>
    <w:rsid w:val="00C912E1"/>
    <w:rsid w:val="00C91BB1"/>
    <w:rsid w:val="00C91C77"/>
    <w:rsid w:val="00C91E04"/>
    <w:rsid w:val="00C9231E"/>
    <w:rsid w:val="00C9248D"/>
    <w:rsid w:val="00C924F9"/>
    <w:rsid w:val="00C926AB"/>
    <w:rsid w:val="00C926EB"/>
    <w:rsid w:val="00C932E0"/>
    <w:rsid w:val="00C9340D"/>
    <w:rsid w:val="00C934AC"/>
    <w:rsid w:val="00C93935"/>
    <w:rsid w:val="00C93A2C"/>
    <w:rsid w:val="00C93E4B"/>
    <w:rsid w:val="00C93ECE"/>
    <w:rsid w:val="00C94064"/>
    <w:rsid w:val="00C940E1"/>
    <w:rsid w:val="00C9414E"/>
    <w:rsid w:val="00C94DD7"/>
    <w:rsid w:val="00C94E16"/>
    <w:rsid w:val="00C95976"/>
    <w:rsid w:val="00C95DBE"/>
    <w:rsid w:val="00C95E93"/>
    <w:rsid w:val="00C96142"/>
    <w:rsid w:val="00C96497"/>
    <w:rsid w:val="00C96BA3"/>
    <w:rsid w:val="00C970AB"/>
    <w:rsid w:val="00C972BF"/>
    <w:rsid w:val="00C972DA"/>
    <w:rsid w:val="00C97C5F"/>
    <w:rsid w:val="00CA0491"/>
    <w:rsid w:val="00CA0E63"/>
    <w:rsid w:val="00CA226B"/>
    <w:rsid w:val="00CA2798"/>
    <w:rsid w:val="00CA2B21"/>
    <w:rsid w:val="00CA2ECA"/>
    <w:rsid w:val="00CA2F94"/>
    <w:rsid w:val="00CA3029"/>
    <w:rsid w:val="00CA36CB"/>
    <w:rsid w:val="00CA3CE1"/>
    <w:rsid w:val="00CA3EEA"/>
    <w:rsid w:val="00CA41DE"/>
    <w:rsid w:val="00CA437B"/>
    <w:rsid w:val="00CA458C"/>
    <w:rsid w:val="00CA467C"/>
    <w:rsid w:val="00CA47C5"/>
    <w:rsid w:val="00CA4845"/>
    <w:rsid w:val="00CA4D86"/>
    <w:rsid w:val="00CA59A8"/>
    <w:rsid w:val="00CA59E3"/>
    <w:rsid w:val="00CA5CEF"/>
    <w:rsid w:val="00CA60EF"/>
    <w:rsid w:val="00CA61AE"/>
    <w:rsid w:val="00CA630D"/>
    <w:rsid w:val="00CA6421"/>
    <w:rsid w:val="00CA67F1"/>
    <w:rsid w:val="00CA6E22"/>
    <w:rsid w:val="00CA703B"/>
    <w:rsid w:val="00CA72C1"/>
    <w:rsid w:val="00CA72C4"/>
    <w:rsid w:val="00CA77FD"/>
    <w:rsid w:val="00CA7922"/>
    <w:rsid w:val="00CA7952"/>
    <w:rsid w:val="00CA7AE8"/>
    <w:rsid w:val="00CA7AEF"/>
    <w:rsid w:val="00CB023C"/>
    <w:rsid w:val="00CB02B7"/>
    <w:rsid w:val="00CB061C"/>
    <w:rsid w:val="00CB0804"/>
    <w:rsid w:val="00CB0DA4"/>
    <w:rsid w:val="00CB1025"/>
    <w:rsid w:val="00CB10C2"/>
    <w:rsid w:val="00CB1D4C"/>
    <w:rsid w:val="00CB1D7D"/>
    <w:rsid w:val="00CB2799"/>
    <w:rsid w:val="00CB2938"/>
    <w:rsid w:val="00CB2EC1"/>
    <w:rsid w:val="00CB2FF9"/>
    <w:rsid w:val="00CB3945"/>
    <w:rsid w:val="00CB3D75"/>
    <w:rsid w:val="00CB3F17"/>
    <w:rsid w:val="00CB4E62"/>
    <w:rsid w:val="00CB4F56"/>
    <w:rsid w:val="00CB6429"/>
    <w:rsid w:val="00CB6B27"/>
    <w:rsid w:val="00CB6BAE"/>
    <w:rsid w:val="00CB6BDD"/>
    <w:rsid w:val="00CB6F6D"/>
    <w:rsid w:val="00CB6F94"/>
    <w:rsid w:val="00CB727A"/>
    <w:rsid w:val="00CB732E"/>
    <w:rsid w:val="00CB7F2F"/>
    <w:rsid w:val="00CB7FA5"/>
    <w:rsid w:val="00CC0896"/>
    <w:rsid w:val="00CC08BF"/>
    <w:rsid w:val="00CC0D19"/>
    <w:rsid w:val="00CC105E"/>
    <w:rsid w:val="00CC1253"/>
    <w:rsid w:val="00CC17B9"/>
    <w:rsid w:val="00CC1E5A"/>
    <w:rsid w:val="00CC1EB9"/>
    <w:rsid w:val="00CC2079"/>
    <w:rsid w:val="00CC21B7"/>
    <w:rsid w:val="00CC22EE"/>
    <w:rsid w:val="00CC2609"/>
    <w:rsid w:val="00CC3118"/>
    <w:rsid w:val="00CC3321"/>
    <w:rsid w:val="00CC3473"/>
    <w:rsid w:val="00CC34F8"/>
    <w:rsid w:val="00CC3558"/>
    <w:rsid w:val="00CC3BFA"/>
    <w:rsid w:val="00CC404B"/>
    <w:rsid w:val="00CC4081"/>
    <w:rsid w:val="00CC40CE"/>
    <w:rsid w:val="00CC4C38"/>
    <w:rsid w:val="00CC5032"/>
    <w:rsid w:val="00CC52DA"/>
    <w:rsid w:val="00CC52DB"/>
    <w:rsid w:val="00CC581A"/>
    <w:rsid w:val="00CC62AA"/>
    <w:rsid w:val="00CC6397"/>
    <w:rsid w:val="00CC642E"/>
    <w:rsid w:val="00CC643E"/>
    <w:rsid w:val="00CC6670"/>
    <w:rsid w:val="00CC6987"/>
    <w:rsid w:val="00CC6A28"/>
    <w:rsid w:val="00CC6CA2"/>
    <w:rsid w:val="00CC6D0F"/>
    <w:rsid w:val="00CC6FCA"/>
    <w:rsid w:val="00CC708A"/>
    <w:rsid w:val="00CC70CB"/>
    <w:rsid w:val="00CC77EA"/>
    <w:rsid w:val="00CC7B5F"/>
    <w:rsid w:val="00CC7D23"/>
    <w:rsid w:val="00CC7DAF"/>
    <w:rsid w:val="00CC7DB9"/>
    <w:rsid w:val="00CD0AA2"/>
    <w:rsid w:val="00CD0DA4"/>
    <w:rsid w:val="00CD13FD"/>
    <w:rsid w:val="00CD1583"/>
    <w:rsid w:val="00CD19A8"/>
    <w:rsid w:val="00CD1AAA"/>
    <w:rsid w:val="00CD1CD5"/>
    <w:rsid w:val="00CD2234"/>
    <w:rsid w:val="00CD286B"/>
    <w:rsid w:val="00CD2FF5"/>
    <w:rsid w:val="00CD30DA"/>
    <w:rsid w:val="00CD3485"/>
    <w:rsid w:val="00CD35E7"/>
    <w:rsid w:val="00CD3664"/>
    <w:rsid w:val="00CD37FA"/>
    <w:rsid w:val="00CD3BB4"/>
    <w:rsid w:val="00CD3C1A"/>
    <w:rsid w:val="00CD4873"/>
    <w:rsid w:val="00CD49E6"/>
    <w:rsid w:val="00CD503A"/>
    <w:rsid w:val="00CD5795"/>
    <w:rsid w:val="00CD5BFD"/>
    <w:rsid w:val="00CD5FC1"/>
    <w:rsid w:val="00CD64B9"/>
    <w:rsid w:val="00CD6F00"/>
    <w:rsid w:val="00CD736E"/>
    <w:rsid w:val="00CD74EA"/>
    <w:rsid w:val="00CD77C0"/>
    <w:rsid w:val="00CD7F49"/>
    <w:rsid w:val="00CE08A4"/>
    <w:rsid w:val="00CE0B33"/>
    <w:rsid w:val="00CE102C"/>
    <w:rsid w:val="00CE16F5"/>
    <w:rsid w:val="00CE1986"/>
    <w:rsid w:val="00CE1FB2"/>
    <w:rsid w:val="00CE2092"/>
    <w:rsid w:val="00CE222B"/>
    <w:rsid w:val="00CE2444"/>
    <w:rsid w:val="00CE2461"/>
    <w:rsid w:val="00CE24E6"/>
    <w:rsid w:val="00CE3274"/>
    <w:rsid w:val="00CE365A"/>
    <w:rsid w:val="00CE36D3"/>
    <w:rsid w:val="00CE3C41"/>
    <w:rsid w:val="00CE3C48"/>
    <w:rsid w:val="00CE41E1"/>
    <w:rsid w:val="00CE47AC"/>
    <w:rsid w:val="00CE4945"/>
    <w:rsid w:val="00CE49D4"/>
    <w:rsid w:val="00CE4BD7"/>
    <w:rsid w:val="00CE4E4E"/>
    <w:rsid w:val="00CE520C"/>
    <w:rsid w:val="00CE52DF"/>
    <w:rsid w:val="00CE55C9"/>
    <w:rsid w:val="00CE5DF1"/>
    <w:rsid w:val="00CE6333"/>
    <w:rsid w:val="00CE6487"/>
    <w:rsid w:val="00CE6643"/>
    <w:rsid w:val="00CE6B8A"/>
    <w:rsid w:val="00CE6E5C"/>
    <w:rsid w:val="00CE7764"/>
    <w:rsid w:val="00CE7925"/>
    <w:rsid w:val="00CE798C"/>
    <w:rsid w:val="00CE7B65"/>
    <w:rsid w:val="00CE7D40"/>
    <w:rsid w:val="00CE7D9C"/>
    <w:rsid w:val="00CE7DE5"/>
    <w:rsid w:val="00CF0230"/>
    <w:rsid w:val="00CF025B"/>
    <w:rsid w:val="00CF02D6"/>
    <w:rsid w:val="00CF0465"/>
    <w:rsid w:val="00CF04F9"/>
    <w:rsid w:val="00CF0C5B"/>
    <w:rsid w:val="00CF12E8"/>
    <w:rsid w:val="00CF17E7"/>
    <w:rsid w:val="00CF1E38"/>
    <w:rsid w:val="00CF21C0"/>
    <w:rsid w:val="00CF24B2"/>
    <w:rsid w:val="00CF26C9"/>
    <w:rsid w:val="00CF27AF"/>
    <w:rsid w:val="00CF27E9"/>
    <w:rsid w:val="00CF29E1"/>
    <w:rsid w:val="00CF2A7D"/>
    <w:rsid w:val="00CF3231"/>
    <w:rsid w:val="00CF32C8"/>
    <w:rsid w:val="00CF33A2"/>
    <w:rsid w:val="00CF35A5"/>
    <w:rsid w:val="00CF363D"/>
    <w:rsid w:val="00CF3DFB"/>
    <w:rsid w:val="00CF4353"/>
    <w:rsid w:val="00CF4C24"/>
    <w:rsid w:val="00CF4CC2"/>
    <w:rsid w:val="00CF4E2B"/>
    <w:rsid w:val="00CF54CF"/>
    <w:rsid w:val="00CF55F1"/>
    <w:rsid w:val="00CF5662"/>
    <w:rsid w:val="00CF599F"/>
    <w:rsid w:val="00CF5AE7"/>
    <w:rsid w:val="00CF6177"/>
    <w:rsid w:val="00CF63AF"/>
    <w:rsid w:val="00CF63C4"/>
    <w:rsid w:val="00CF664E"/>
    <w:rsid w:val="00CF67A2"/>
    <w:rsid w:val="00CF6BB7"/>
    <w:rsid w:val="00CF6C5B"/>
    <w:rsid w:val="00CF6E18"/>
    <w:rsid w:val="00CF6E7A"/>
    <w:rsid w:val="00CF6E97"/>
    <w:rsid w:val="00CF6F6D"/>
    <w:rsid w:val="00CF7235"/>
    <w:rsid w:val="00CF786C"/>
    <w:rsid w:val="00D0054E"/>
    <w:rsid w:val="00D007C0"/>
    <w:rsid w:val="00D009A3"/>
    <w:rsid w:val="00D009E1"/>
    <w:rsid w:val="00D009E8"/>
    <w:rsid w:val="00D00AD8"/>
    <w:rsid w:val="00D00C35"/>
    <w:rsid w:val="00D0128C"/>
    <w:rsid w:val="00D01445"/>
    <w:rsid w:val="00D01821"/>
    <w:rsid w:val="00D02303"/>
    <w:rsid w:val="00D02535"/>
    <w:rsid w:val="00D0263D"/>
    <w:rsid w:val="00D02AFF"/>
    <w:rsid w:val="00D02D29"/>
    <w:rsid w:val="00D038AE"/>
    <w:rsid w:val="00D03954"/>
    <w:rsid w:val="00D040D5"/>
    <w:rsid w:val="00D045EB"/>
    <w:rsid w:val="00D045FA"/>
    <w:rsid w:val="00D04781"/>
    <w:rsid w:val="00D05687"/>
    <w:rsid w:val="00D05B0C"/>
    <w:rsid w:val="00D05C59"/>
    <w:rsid w:val="00D06574"/>
    <w:rsid w:val="00D06A19"/>
    <w:rsid w:val="00D06C56"/>
    <w:rsid w:val="00D06E02"/>
    <w:rsid w:val="00D07492"/>
    <w:rsid w:val="00D07BD9"/>
    <w:rsid w:val="00D07BFD"/>
    <w:rsid w:val="00D07C96"/>
    <w:rsid w:val="00D10302"/>
    <w:rsid w:val="00D105EB"/>
    <w:rsid w:val="00D10605"/>
    <w:rsid w:val="00D106EA"/>
    <w:rsid w:val="00D10A14"/>
    <w:rsid w:val="00D1109C"/>
    <w:rsid w:val="00D111C2"/>
    <w:rsid w:val="00D11318"/>
    <w:rsid w:val="00D11326"/>
    <w:rsid w:val="00D11EC1"/>
    <w:rsid w:val="00D12707"/>
    <w:rsid w:val="00D12DF0"/>
    <w:rsid w:val="00D12E9A"/>
    <w:rsid w:val="00D132D6"/>
    <w:rsid w:val="00D1331B"/>
    <w:rsid w:val="00D13442"/>
    <w:rsid w:val="00D13648"/>
    <w:rsid w:val="00D1377E"/>
    <w:rsid w:val="00D1386A"/>
    <w:rsid w:val="00D138D9"/>
    <w:rsid w:val="00D13938"/>
    <w:rsid w:val="00D139B8"/>
    <w:rsid w:val="00D13B28"/>
    <w:rsid w:val="00D13D26"/>
    <w:rsid w:val="00D13D3A"/>
    <w:rsid w:val="00D14816"/>
    <w:rsid w:val="00D1500D"/>
    <w:rsid w:val="00D155B0"/>
    <w:rsid w:val="00D15B76"/>
    <w:rsid w:val="00D1643C"/>
    <w:rsid w:val="00D164DF"/>
    <w:rsid w:val="00D1688D"/>
    <w:rsid w:val="00D16C45"/>
    <w:rsid w:val="00D17002"/>
    <w:rsid w:val="00D174AB"/>
    <w:rsid w:val="00D176AB"/>
    <w:rsid w:val="00D176B6"/>
    <w:rsid w:val="00D17D96"/>
    <w:rsid w:val="00D17E39"/>
    <w:rsid w:val="00D2049F"/>
    <w:rsid w:val="00D206C4"/>
    <w:rsid w:val="00D20A71"/>
    <w:rsid w:val="00D20F18"/>
    <w:rsid w:val="00D21177"/>
    <w:rsid w:val="00D212B1"/>
    <w:rsid w:val="00D212DC"/>
    <w:rsid w:val="00D213E3"/>
    <w:rsid w:val="00D216AF"/>
    <w:rsid w:val="00D21E39"/>
    <w:rsid w:val="00D21E43"/>
    <w:rsid w:val="00D21F09"/>
    <w:rsid w:val="00D21F34"/>
    <w:rsid w:val="00D22A3C"/>
    <w:rsid w:val="00D231BD"/>
    <w:rsid w:val="00D2355B"/>
    <w:rsid w:val="00D23866"/>
    <w:rsid w:val="00D2390C"/>
    <w:rsid w:val="00D23E28"/>
    <w:rsid w:val="00D24080"/>
    <w:rsid w:val="00D24100"/>
    <w:rsid w:val="00D24114"/>
    <w:rsid w:val="00D244C5"/>
    <w:rsid w:val="00D24504"/>
    <w:rsid w:val="00D2483C"/>
    <w:rsid w:val="00D257F5"/>
    <w:rsid w:val="00D259C8"/>
    <w:rsid w:val="00D25A83"/>
    <w:rsid w:val="00D26253"/>
    <w:rsid w:val="00D26332"/>
    <w:rsid w:val="00D26E13"/>
    <w:rsid w:val="00D2765A"/>
    <w:rsid w:val="00D27AA0"/>
    <w:rsid w:val="00D300AD"/>
    <w:rsid w:val="00D312AC"/>
    <w:rsid w:val="00D312E5"/>
    <w:rsid w:val="00D32E4E"/>
    <w:rsid w:val="00D3361F"/>
    <w:rsid w:val="00D338D8"/>
    <w:rsid w:val="00D33E52"/>
    <w:rsid w:val="00D34407"/>
    <w:rsid w:val="00D34553"/>
    <w:rsid w:val="00D345C4"/>
    <w:rsid w:val="00D34A85"/>
    <w:rsid w:val="00D34FFC"/>
    <w:rsid w:val="00D352D3"/>
    <w:rsid w:val="00D354C0"/>
    <w:rsid w:val="00D35519"/>
    <w:rsid w:val="00D3561F"/>
    <w:rsid w:val="00D359D4"/>
    <w:rsid w:val="00D35B03"/>
    <w:rsid w:val="00D36225"/>
    <w:rsid w:val="00D36A34"/>
    <w:rsid w:val="00D36E3E"/>
    <w:rsid w:val="00D36E6E"/>
    <w:rsid w:val="00D37432"/>
    <w:rsid w:val="00D377A2"/>
    <w:rsid w:val="00D37A02"/>
    <w:rsid w:val="00D4003E"/>
    <w:rsid w:val="00D4036D"/>
    <w:rsid w:val="00D405FA"/>
    <w:rsid w:val="00D40769"/>
    <w:rsid w:val="00D409E5"/>
    <w:rsid w:val="00D4101B"/>
    <w:rsid w:val="00D41320"/>
    <w:rsid w:val="00D41D1A"/>
    <w:rsid w:val="00D426BF"/>
    <w:rsid w:val="00D42B33"/>
    <w:rsid w:val="00D42C8E"/>
    <w:rsid w:val="00D436DE"/>
    <w:rsid w:val="00D43895"/>
    <w:rsid w:val="00D43B2E"/>
    <w:rsid w:val="00D44334"/>
    <w:rsid w:val="00D445FA"/>
    <w:rsid w:val="00D447F2"/>
    <w:rsid w:val="00D4496F"/>
    <w:rsid w:val="00D44987"/>
    <w:rsid w:val="00D4526E"/>
    <w:rsid w:val="00D452DD"/>
    <w:rsid w:val="00D45966"/>
    <w:rsid w:val="00D45B56"/>
    <w:rsid w:val="00D46012"/>
    <w:rsid w:val="00D46062"/>
    <w:rsid w:val="00D4643F"/>
    <w:rsid w:val="00D473D6"/>
    <w:rsid w:val="00D47A9D"/>
    <w:rsid w:val="00D47C6E"/>
    <w:rsid w:val="00D47D73"/>
    <w:rsid w:val="00D47F86"/>
    <w:rsid w:val="00D5035A"/>
    <w:rsid w:val="00D5057E"/>
    <w:rsid w:val="00D50A19"/>
    <w:rsid w:val="00D50E51"/>
    <w:rsid w:val="00D51161"/>
    <w:rsid w:val="00D51271"/>
    <w:rsid w:val="00D51618"/>
    <w:rsid w:val="00D5177B"/>
    <w:rsid w:val="00D5184A"/>
    <w:rsid w:val="00D51A59"/>
    <w:rsid w:val="00D520AF"/>
    <w:rsid w:val="00D52712"/>
    <w:rsid w:val="00D52AD4"/>
    <w:rsid w:val="00D52CA2"/>
    <w:rsid w:val="00D5359A"/>
    <w:rsid w:val="00D5396B"/>
    <w:rsid w:val="00D53C5B"/>
    <w:rsid w:val="00D53C90"/>
    <w:rsid w:val="00D53DBF"/>
    <w:rsid w:val="00D53ED4"/>
    <w:rsid w:val="00D5471C"/>
    <w:rsid w:val="00D55FBF"/>
    <w:rsid w:val="00D5625C"/>
    <w:rsid w:val="00D565D5"/>
    <w:rsid w:val="00D56816"/>
    <w:rsid w:val="00D56C14"/>
    <w:rsid w:val="00D56C67"/>
    <w:rsid w:val="00D56E8A"/>
    <w:rsid w:val="00D57137"/>
    <w:rsid w:val="00D571AA"/>
    <w:rsid w:val="00D571DF"/>
    <w:rsid w:val="00D57430"/>
    <w:rsid w:val="00D57721"/>
    <w:rsid w:val="00D57803"/>
    <w:rsid w:val="00D57884"/>
    <w:rsid w:val="00D60096"/>
    <w:rsid w:val="00D60460"/>
    <w:rsid w:val="00D618D2"/>
    <w:rsid w:val="00D618E1"/>
    <w:rsid w:val="00D61CAD"/>
    <w:rsid w:val="00D61CD9"/>
    <w:rsid w:val="00D61E17"/>
    <w:rsid w:val="00D6232A"/>
    <w:rsid w:val="00D6232B"/>
    <w:rsid w:val="00D62865"/>
    <w:rsid w:val="00D62F0D"/>
    <w:rsid w:val="00D62F4D"/>
    <w:rsid w:val="00D62FDF"/>
    <w:rsid w:val="00D633A9"/>
    <w:rsid w:val="00D63404"/>
    <w:rsid w:val="00D63606"/>
    <w:rsid w:val="00D638B4"/>
    <w:rsid w:val="00D6404E"/>
    <w:rsid w:val="00D64202"/>
    <w:rsid w:val="00D642C2"/>
    <w:rsid w:val="00D642C9"/>
    <w:rsid w:val="00D643CE"/>
    <w:rsid w:val="00D649C6"/>
    <w:rsid w:val="00D64AD7"/>
    <w:rsid w:val="00D64B03"/>
    <w:rsid w:val="00D64DB5"/>
    <w:rsid w:val="00D65156"/>
    <w:rsid w:val="00D653D3"/>
    <w:rsid w:val="00D65925"/>
    <w:rsid w:val="00D66170"/>
    <w:rsid w:val="00D66334"/>
    <w:rsid w:val="00D665D7"/>
    <w:rsid w:val="00D66D7C"/>
    <w:rsid w:val="00D66FCF"/>
    <w:rsid w:val="00D67394"/>
    <w:rsid w:val="00D676BB"/>
    <w:rsid w:val="00D67AC6"/>
    <w:rsid w:val="00D67C32"/>
    <w:rsid w:val="00D67D4A"/>
    <w:rsid w:val="00D67F66"/>
    <w:rsid w:val="00D7002F"/>
    <w:rsid w:val="00D70059"/>
    <w:rsid w:val="00D70166"/>
    <w:rsid w:val="00D7028A"/>
    <w:rsid w:val="00D7044F"/>
    <w:rsid w:val="00D705F8"/>
    <w:rsid w:val="00D709A6"/>
    <w:rsid w:val="00D709B4"/>
    <w:rsid w:val="00D7127C"/>
    <w:rsid w:val="00D7157C"/>
    <w:rsid w:val="00D71929"/>
    <w:rsid w:val="00D721DE"/>
    <w:rsid w:val="00D727FA"/>
    <w:rsid w:val="00D72AFF"/>
    <w:rsid w:val="00D73564"/>
    <w:rsid w:val="00D737B1"/>
    <w:rsid w:val="00D73DB8"/>
    <w:rsid w:val="00D73E64"/>
    <w:rsid w:val="00D743C6"/>
    <w:rsid w:val="00D74A7B"/>
    <w:rsid w:val="00D74D2F"/>
    <w:rsid w:val="00D7544A"/>
    <w:rsid w:val="00D75C0F"/>
    <w:rsid w:val="00D75F14"/>
    <w:rsid w:val="00D764FA"/>
    <w:rsid w:val="00D767C4"/>
    <w:rsid w:val="00D769A4"/>
    <w:rsid w:val="00D775A6"/>
    <w:rsid w:val="00D7770F"/>
    <w:rsid w:val="00D77E6A"/>
    <w:rsid w:val="00D77F2F"/>
    <w:rsid w:val="00D8050C"/>
    <w:rsid w:val="00D80930"/>
    <w:rsid w:val="00D80D32"/>
    <w:rsid w:val="00D80F85"/>
    <w:rsid w:val="00D81531"/>
    <w:rsid w:val="00D81D03"/>
    <w:rsid w:val="00D81F2B"/>
    <w:rsid w:val="00D82080"/>
    <w:rsid w:val="00D822F3"/>
    <w:rsid w:val="00D82C86"/>
    <w:rsid w:val="00D82CB5"/>
    <w:rsid w:val="00D82EAC"/>
    <w:rsid w:val="00D833A8"/>
    <w:rsid w:val="00D83B08"/>
    <w:rsid w:val="00D83C81"/>
    <w:rsid w:val="00D83EEC"/>
    <w:rsid w:val="00D83F0C"/>
    <w:rsid w:val="00D841DD"/>
    <w:rsid w:val="00D842E7"/>
    <w:rsid w:val="00D84338"/>
    <w:rsid w:val="00D84768"/>
    <w:rsid w:val="00D851E1"/>
    <w:rsid w:val="00D85270"/>
    <w:rsid w:val="00D85AFC"/>
    <w:rsid w:val="00D85B25"/>
    <w:rsid w:val="00D85D66"/>
    <w:rsid w:val="00D85E0E"/>
    <w:rsid w:val="00D85F5D"/>
    <w:rsid w:val="00D85FA0"/>
    <w:rsid w:val="00D86D03"/>
    <w:rsid w:val="00D87325"/>
    <w:rsid w:val="00D87549"/>
    <w:rsid w:val="00D875EA"/>
    <w:rsid w:val="00D87786"/>
    <w:rsid w:val="00D9083B"/>
    <w:rsid w:val="00D90F68"/>
    <w:rsid w:val="00D91E66"/>
    <w:rsid w:val="00D92238"/>
    <w:rsid w:val="00D926F4"/>
    <w:rsid w:val="00D9285C"/>
    <w:rsid w:val="00D92D27"/>
    <w:rsid w:val="00D93E40"/>
    <w:rsid w:val="00D947EF"/>
    <w:rsid w:val="00D94B32"/>
    <w:rsid w:val="00D956BE"/>
    <w:rsid w:val="00D95948"/>
    <w:rsid w:val="00D95AC1"/>
    <w:rsid w:val="00D95E1F"/>
    <w:rsid w:val="00D95E5F"/>
    <w:rsid w:val="00D96BB1"/>
    <w:rsid w:val="00D97144"/>
    <w:rsid w:val="00D971D7"/>
    <w:rsid w:val="00D97466"/>
    <w:rsid w:val="00D9789D"/>
    <w:rsid w:val="00D97994"/>
    <w:rsid w:val="00D97B4C"/>
    <w:rsid w:val="00D97E19"/>
    <w:rsid w:val="00DA049D"/>
    <w:rsid w:val="00DA0D7D"/>
    <w:rsid w:val="00DA0E34"/>
    <w:rsid w:val="00DA1076"/>
    <w:rsid w:val="00DA1467"/>
    <w:rsid w:val="00DA159E"/>
    <w:rsid w:val="00DA15CD"/>
    <w:rsid w:val="00DA1994"/>
    <w:rsid w:val="00DA1C93"/>
    <w:rsid w:val="00DA1E00"/>
    <w:rsid w:val="00DA2426"/>
    <w:rsid w:val="00DA26BD"/>
    <w:rsid w:val="00DA2AE8"/>
    <w:rsid w:val="00DA3150"/>
    <w:rsid w:val="00DA3597"/>
    <w:rsid w:val="00DA3748"/>
    <w:rsid w:val="00DA3BD4"/>
    <w:rsid w:val="00DA43C1"/>
    <w:rsid w:val="00DA4546"/>
    <w:rsid w:val="00DA4728"/>
    <w:rsid w:val="00DA48C9"/>
    <w:rsid w:val="00DA48DD"/>
    <w:rsid w:val="00DA4D5F"/>
    <w:rsid w:val="00DA51C8"/>
    <w:rsid w:val="00DA5311"/>
    <w:rsid w:val="00DA58D7"/>
    <w:rsid w:val="00DA6075"/>
    <w:rsid w:val="00DA6CC0"/>
    <w:rsid w:val="00DA7275"/>
    <w:rsid w:val="00DA73A8"/>
    <w:rsid w:val="00DA7BD2"/>
    <w:rsid w:val="00DB01C6"/>
    <w:rsid w:val="00DB046E"/>
    <w:rsid w:val="00DB069F"/>
    <w:rsid w:val="00DB0724"/>
    <w:rsid w:val="00DB0807"/>
    <w:rsid w:val="00DB1149"/>
    <w:rsid w:val="00DB1313"/>
    <w:rsid w:val="00DB142B"/>
    <w:rsid w:val="00DB1866"/>
    <w:rsid w:val="00DB1C34"/>
    <w:rsid w:val="00DB22D4"/>
    <w:rsid w:val="00DB2D1E"/>
    <w:rsid w:val="00DB3AD1"/>
    <w:rsid w:val="00DB3E48"/>
    <w:rsid w:val="00DB4365"/>
    <w:rsid w:val="00DB4E5C"/>
    <w:rsid w:val="00DB4F8E"/>
    <w:rsid w:val="00DB590A"/>
    <w:rsid w:val="00DB5B70"/>
    <w:rsid w:val="00DB5FA5"/>
    <w:rsid w:val="00DB5FB8"/>
    <w:rsid w:val="00DB6191"/>
    <w:rsid w:val="00DB6200"/>
    <w:rsid w:val="00DB6889"/>
    <w:rsid w:val="00DB69B9"/>
    <w:rsid w:val="00DB707A"/>
    <w:rsid w:val="00DB72C1"/>
    <w:rsid w:val="00DB7447"/>
    <w:rsid w:val="00DB74AD"/>
    <w:rsid w:val="00DB7BD4"/>
    <w:rsid w:val="00DC0004"/>
    <w:rsid w:val="00DC0153"/>
    <w:rsid w:val="00DC02D7"/>
    <w:rsid w:val="00DC0334"/>
    <w:rsid w:val="00DC0CC7"/>
    <w:rsid w:val="00DC0D5A"/>
    <w:rsid w:val="00DC1674"/>
    <w:rsid w:val="00DC19A8"/>
    <w:rsid w:val="00DC2886"/>
    <w:rsid w:val="00DC3190"/>
    <w:rsid w:val="00DC3B05"/>
    <w:rsid w:val="00DC3BD8"/>
    <w:rsid w:val="00DC3D39"/>
    <w:rsid w:val="00DC4048"/>
    <w:rsid w:val="00DC40EF"/>
    <w:rsid w:val="00DC414D"/>
    <w:rsid w:val="00DC4382"/>
    <w:rsid w:val="00DC43FF"/>
    <w:rsid w:val="00DC4501"/>
    <w:rsid w:val="00DC485B"/>
    <w:rsid w:val="00DC4DDD"/>
    <w:rsid w:val="00DC521E"/>
    <w:rsid w:val="00DC5233"/>
    <w:rsid w:val="00DC5F35"/>
    <w:rsid w:val="00DC6BEF"/>
    <w:rsid w:val="00DC70C2"/>
    <w:rsid w:val="00DC711C"/>
    <w:rsid w:val="00DC7232"/>
    <w:rsid w:val="00DC7291"/>
    <w:rsid w:val="00DC743F"/>
    <w:rsid w:val="00DC79DF"/>
    <w:rsid w:val="00DC7C21"/>
    <w:rsid w:val="00DC7DD4"/>
    <w:rsid w:val="00DC7E00"/>
    <w:rsid w:val="00DD0569"/>
    <w:rsid w:val="00DD0603"/>
    <w:rsid w:val="00DD0ADC"/>
    <w:rsid w:val="00DD1337"/>
    <w:rsid w:val="00DD1AF8"/>
    <w:rsid w:val="00DD1B0E"/>
    <w:rsid w:val="00DD1B16"/>
    <w:rsid w:val="00DD21EA"/>
    <w:rsid w:val="00DD2234"/>
    <w:rsid w:val="00DD26F0"/>
    <w:rsid w:val="00DD29D2"/>
    <w:rsid w:val="00DD2A8A"/>
    <w:rsid w:val="00DD34C0"/>
    <w:rsid w:val="00DD34E3"/>
    <w:rsid w:val="00DD3580"/>
    <w:rsid w:val="00DD3A9E"/>
    <w:rsid w:val="00DD4A76"/>
    <w:rsid w:val="00DD4C30"/>
    <w:rsid w:val="00DD4C79"/>
    <w:rsid w:val="00DD4FDA"/>
    <w:rsid w:val="00DD538C"/>
    <w:rsid w:val="00DD560E"/>
    <w:rsid w:val="00DD571B"/>
    <w:rsid w:val="00DD592C"/>
    <w:rsid w:val="00DD5A8D"/>
    <w:rsid w:val="00DD66BD"/>
    <w:rsid w:val="00DD71FF"/>
    <w:rsid w:val="00DD74F5"/>
    <w:rsid w:val="00DD7A4B"/>
    <w:rsid w:val="00DD7C34"/>
    <w:rsid w:val="00DE0478"/>
    <w:rsid w:val="00DE0AAA"/>
    <w:rsid w:val="00DE0EDF"/>
    <w:rsid w:val="00DE1708"/>
    <w:rsid w:val="00DE1CFC"/>
    <w:rsid w:val="00DE1D92"/>
    <w:rsid w:val="00DE298F"/>
    <w:rsid w:val="00DE2D43"/>
    <w:rsid w:val="00DE2D85"/>
    <w:rsid w:val="00DE2DC5"/>
    <w:rsid w:val="00DE2E9F"/>
    <w:rsid w:val="00DE3001"/>
    <w:rsid w:val="00DE311D"/>
    <w:rsid w:val="00DE3A82"/>
    <w:rsid w:val="00DE3FF3"/>
    <w:rsid w:val="00DE40D0"/>
    <w:rsid w:val="00DE436B"/>
    <w:rsid w:val="00DE43FC"/>
    <w:rsid w:val="00DE472B"/>
    <w:rsid w:val="00DE4841"/>
    <w:rsid w:val="00DE50BE"/>
    <w:rsid w:val="00DE565B"/>
    <w:rsid w:val="00DE590B"/>
    <w:rsid w:val="00DE5ADE"/>
    <w:rsid w:val="00DE5EB4"/>
    <w:rsid w:val="00DE62C2"/>
    <w:rsid w:val="00DE63E9"/>
    <w:rsid w:val="00DE64E1"/>
    <w:rsid w:val="00DE691E"/>
    <w:rsid w:val="00DE6988"/>
    <w:rsid w:val="00DE7578"/>
    <w:rsid w:val="00DE7697"/>
    <w:rsid w:val="00DE7808"/>
    <w:rsid w:val="00DE7C0E"/>
    <w:rsid w:val="00DE7DA1"/>
    <w:rsid w:val="00DE7EEA"/>
    <w:rsid w:val="00DF01DF"/>
    <w:rsid w:val="00DF056B"/>
    <w:rsid w:val="00DF059A"/>
    <w:rsid w:val="00DF0FC9"/>
    <w:rsid w:val="00DF100E"/>
    <w:rsid w:val="00DF19FC"/>
    <w:rsid w:val="00DF1A5A"/>
    <w:rsid w:val="00DF1E5F"/>
    <w:rsid w:val="00DF1EBC"/>
    <w:rsid w:val="00DF2262"/>
    <w:rsid w:val="00DF229C"/>
    <w:rsid w:val="00DF23CC"/>
    <w:rsid w:val="00DF2638"/>
    <w:rsid w:val="00DF26AB"/>
    <w:rsid w:val="00DF3512"/>
    <w:rsid w:val="00DF3788"/>
    <w:rsid w:val="00DF3A09"/>
    <w:rsid w:val="00DF3AB3"/>
    <w:rsid w:val="00DF3FD0"/>
    <w:rsid w:val="00DF43BA"/>
    <w:rsid w:val="00DF4691"/>
    <w:rsid w:val="00DF4E41"/>
    <w:rsid w:val="00DF5249"/>
    <w:rsid w:val="00DF54C1"/>
    <w:rsid w:val="00DF5B4E"/>
    <w:rsid w:val="00DF5C78"/>
    <w:rsid w:val="00DF5D5B"/>
    <w:rsid w:val="00DF5EED"/>
    <w:rsid w:val="00DF633D"/>
    <w:rsid w:val="00DF7238"/>
    <w:rsid w:val="00DF7662"/>
    <w:rsid w:val="00DF78BA"/>
    <w:rsid w:val="00DF7B25"/>
    <w:rsid w:val="00DF7D9C"/>
    <w:rsid w:val="00DF7ECD"/>
    <w:rsid w:val="00DF7F0A"/>
    <w:rsid w:val="00E00078"/>
    <w:rsid w:val="00E00852"/>
    <w:rsid w:val="00E00B7D"/>
    <w:rsid w:val="00E00BA8"/>
    <w:rsid w:val="00E00C52"/>
    <w:rsid w:val="00E01A26"/>
    <w:rsid w:val="00E01D8E"/>
    <w:rsid w:val="00E01DA6"/>
    <w:rsid w:val="00E01FAC"/>
    <w:rsid w:val="00E0255B"/>
    <w:rsid w:val="00E02FD6"/>
    <w:rsid w:val="00E0300C"/>
    <w:rsid w:val="00E042E4"/>
    <w:rsid w:val="00E0435B"/>
    <w:rsid w:val="00E049FD"/>
    <w:rsid w:val="00E04AA0"/>
    <w:rsid w:val="00E04C61"/>
    <w:rsid w:val="00E04C6E"/>
    <w:rsid w:val="00E04DB7"/>
    <w:rsid w:val="00E055BF"/>
    <w:rsid w:val="00E05669"/>
    <w:rsid w:val="00E057E1"/>
    <w:rsid w:val="00E05DCB"/>
    <w:rsid w:val="00E067B4"/>
    <w:rsid w:val="00E06EF9"/>
    <w:rsid w:val="00E07054"/>
    <w:rsid w:val="00E07092"/>
    <w:rsid w:val="00E072AC"/>
    <w:rsid w:val="00E07894"/>
    <w:rsid w:val="00E079AE"/>
    <w:rsid w:val="00E07EB3"/>
    <w:rsid w:val="00E102CF"/>
    <w:rsid w:val="00E10861"/>
    <w:rsid w:val="00E11B44"/>
    <w:rsid w:val="00E11C37"/>
    <w:rsid w:val="00E11C4B"/>
    <w:rsid w:val="00E11C51"/>
    <w:rsid w:val="00E12A9D"/>
    <w:rsid w:val="00E12B51"/>
    <w:rsid w:val="00E12E91"/>
    <w:rsid w:val="00E131DF"/>
    <w:rsid w:val="00E13295"/>
    <w:rsid w:val="00E134E7"/>
    <w:rsid w:val="00E13AF6"/>
    <w:rsid w:val="00E1404C"/>
    <w:rsid w:val="00E140FA"/>
    <w:rsid w:val="00E142B7"/>
    <w:rsid w:val="00E14337"/>
    <w:rsid w:val="00E143AE"/>
    <w:rsid w:val="00E147F5"/>
    <w:rsid w:val="00E14829"/>
    <w:rsid w:val="00E14971"/>
    <w:rsid w:val="00E150CC"/>
    <w:rsid w:val="00E15993"/>
    <w:rsid w:val="00E159FA"/>
    <w:rsid w:val="00E15C1C"/>
    <w:rsid w:val="00E15C9A"/>
    <w:rsid w:val="00E15D4F"/>
    <w:rsid w:val="00E16421"/>
    <w:rsid w:val="00E164AE"/>
    <w:rsid w:val="00E16C06"/>
    <w:rsid w:val="00E16CF0"/>
    <w:rsid w:val="00E16FD0"/>
    <w:rsid w:val="00E17432"/>
    <w:rsid w:val="00E177BD"/>
    <w:rsid w:val="00E179FD"/>
    <w:rsid w:val="00E17C30"/>
    <w:rsid w:val="00E20C31"/>
    <w:rsid w:val="00E211AB"/>
    <w:rsid w:val="00E2141A"/>
    <w:rsid w:val="00E22571"/>
    <w:rsid w:val="00E226DC"/>
    <w:rsid w:val="00E2297D"/>
    <w:rsid w:val="00E22B7F"/>
    <w:rsid w:val="00E22EFA"/>
    <w:rsid w:val="00E23003"/>
    <w:rsid w:val="00E231CE"/>
    <w:rsid w:val="00E23831"/>
    <w:rsid w:val="00E23B11"/>
    <w:rsid w:val="00E23DBF"/>
    <w:rsid w:val="00E2401F"/>
    <w:rsid w:val="00E24329"/>
    <w:rsid w:val="00E2463E"/>
    <w:rsid w:val="00E24713"/>
    <w:rsid w:val="00E24714"/>
    <w:rsid w:val="00E24A24"/>
    <w:rsid w:val="00E24E8E"/>
    <w:rsid w:val="00E25897"/>
    <w:rsid w:val="00E25AD2"/>
    <w:rsid w:val="00E25E5B"/>
    <w:rsid w:val="00E25E8B"/>
    <w:rsid w:val="00E2610D"/>
    <w:rsid w:val="00E26741"/>
    <w:rsid w:val="00E26A26"/>
    <w:rsid w:val="00E27087"/>
    <w:rsid w:val="00E27A47"/>
    <w:rsid w:val="00E27AE8"/>
    <w:rsid w:val="00E3040B"/>
    <w:rsid w:val="00E306BD"/>
    <w:rsid w:val="00E306F3"/>
    <w:rsid w:val="00E30C21"/>
    <w:rsid w:val="00E31142"/>
    <w:rsid w:val="00E31260"/>
    <w:rsid w:val="00E3187D"/>
    <w:rsid w:val="00E31BF9"/>
    <w:rsid w:val="00E3218A"/>
    <w:rsid w:val="00E32304"/>
    <w:rsid w:val="00E3235A"/>
    <w:rsid w:val="00E32464"/>
    <w:rsid w:val="00E32537"/>
    <w:rsid w:val="00E325A4"/>
    <w:rsid w:val="00E3264B"/>
    <w:rsid w:val="00E32B99"/>
    <w:rsid w:val="00E32BBB"/>
    <w:rsid w:val="00E32F82"/>
    <w:rsid w:val="00E3462D"/>
    <w:rsid w:val="00E346E2"/>
    <w:rsid w:val="00E348B9"/>
    <w:rsid w:val="00E3496E"/>
    <w:rsid w:val="00E34BF4"/>
    <w:rsid w:val="00E34CB2"/>
    <w:rsid w:val="00E35467"/>
    <w:rsid w:val="00E35671"/>
    <w:rsid w:val="00E357C7"/>
    <w:rsid w:val="00E35C41"/>
    <w:rsid w:val="00E3624C"/>
    <w:rsid w:val="00E36297"/>
    <w:rsid w:val="00E3657A"/>
    <w:rsid w:val="00E366F1"/>
    <w:rsid w:val="00E36ABC"/>
    <w:rsid w:val="00E377F0"/>
    <w:rsid w:val="00E377F6"/>
    <w:rsid w:val="00E37CFF"/>
    <w:rsid w:val="00E37D6B"/>
    <w:rsid w:val="00E37F2F"/>
    <w:rsid w:val="00E4026F"/>
    <w:rsid w:val="00E40761"/>
    <w:rsid w:val="00E40928"/>
    <w:rsid w:val="00E41321"/>
    <w:rsid w:val="00E41679"/>
    <w:rsid w:val="00E418C7"/>
    <w:rsid w:val="00E41943"/>
    <w:rsid w:val="00E41AFE"/>
    <w:rsid w:val="00E41C34"/>
    <w:rsid w:val="00E42AB8"/>
    <w:rsid w:val="00E4313E"/>
    <w:rsid w:val="00E431F2"/>
    <w:rsid w:val="00E43384"/>
    <w:rsid w:val="00E43620"/>
    <w:rsid w:val="00E43656"/>
    <w:rsid w:val="00E43B30"/>
    <w:rsid w:val="00E442DD"/>
    <w:rsid w:val="00E44467"/>
    <w:rsid w:val="00E44BDD"/>
    <w:rsid w:val="00E44D10"/>
    <w:rsid w:val="00E44EB3"/>
    <w:rsid w:val="00E45BDF"/>
    <w:rsid w:val="00E460C0"/>
    <w:rsid w:val="00E4613D"/>
    <w:rsid w:val="00E461C7"/>
    <w:rsid w:val="00E46F56"/>
    <w:rsid w:val="00E47112"/>
    <w:rsid w:val="00E47133"/>
    <w:rsid w:val="00E472B0"/>
    <w:rsid w:val="00E47316"/>
    <w:rsid w:val="00E474C6"/>
    <w:rsid w:val="00E479CE"/>
    <w:rsid w:val="00E50284"/>
    <w:rsid w:val="00E50531"/>
    <w:rsid w:val="00E506AD"/>
    <w:rsid w:val="00E5072A"/>
    <w:rsid w:val="00E50DA8"/>
    <w:rsid w:val="00E51932"/>
    <w:rsid w:val="00E51C28"/>
    <w:rsid w:val="00E51D2F"/>
    <w:rsid w:val="00E51DBF"/>
    <w:rsid w:val="00E51F32"/>
    <w:rsid w:val="00E51FB0"/>
    <w:rsid w:val="00E5233C"/>
    <w:rsid w:val="00E52B17"/>
    <w:rsid w:val="00E52C69"/>
    <w:rsid w:val="00E53303"/>
    <w:rsid w:val="00E53684"/>
    <w:rsid w:val="00E53A45"/>
    <w:rsid w:val="00E53ED6"/>
    <w:rsid w:val="00E541AE"/>
    <w:rsid w:val="00E541DF"/>
    <w:rsid w:val="00E547B8"/>
    <w:rsid w:val="00E548AC"/>
    <w:rsid w:val="00E54D3E"/>
    <w:rsid w:val="00E54F6A"/>
    <w:rsid w:val="00E5525E"/>
    <w:rsid w:val="00E55717"/>
    <w:rsid w:val="00E55EBA"/>
    <w:rsid w:val="00E5649E"/>
    <w:rsid w:val="00E56C7C"/>
    <w:rsid w:val="00E56DDF"/>
    <w:rsid w:val="00E56FB3"/>
    <w:rsid w:val="00E603D4"/>
    <w:rsid w:val="00E60580"/>
    <w:rsid w:val="00E60F93"/>
    <w:rsid w:val="00E617F3"/>
    <w:rsid w:val="00E6186D"/>
    <w:rsid w:val="00E61EFE"/>
    <w:rsid w:val="00E62262"/>
    <w:rsid w:val="00E6226F"/>
    <w:rsid w:val="00E6236F"/>
    <w:rsid w:val="00E624C2"/>
    <w:rsid w:val="00E62B16"/>
    <w:rsid w:val="00E63B05"/>
    <w:rsid w:val="00E63B97"/>
    <w:rsid w:val="00E63D32"/>
    <w:rsid w:val="00E64011"/>
    <w:rsid w:val="00E64806"/>
    <w:rsid w:val="00E64F76"/>
    <w:rsid w:val="00E65052"/>
    <w:rsid w:val="00E656EC"/>
    <w:rsid w:val="00E65CFC"/>
    <w:rsid w:val="00E66135"/>
    <w:rsid w:val="00E662AC"/>
    <w:rsid w:val="00E66AC8"/>
    <w:rsid w:val="00E6747A"/>
    <w:rsid w:val="00E675DD"/>
    <w:rsid w:val="00E67919"/>
    <w:rsid w:val="00E67A3D"/>
    <w:rsid w:val="00E67C86"/>
    <w:rsid w:val="00E67F10"/>
    <w:rsid w:val="00E7087D"/>
    <w:rsid w:val="00E70D38"/>
    <w:rsid w:val="00E712EB"/>
    <w:rsid w:val="00E7192F"/>
    <w:rsid w:val="00E71A1E"/>
    <w:rsid w:val="00E71BC4"/>
    <w:rsid w:val="00E71EF3"/>
    <w:rsid w:val="00E72600"/>
    <w:rsid w:val="00E72786"/>
    <w:rsid w:val="00E72EEC"/>
    <w:rsid w:val="00E730EF"/>
    <w:rsid w:val="00E732AE"/>
    <w:rsid w:val="00E7333B"/>
    <w:rsid w:val="00E736BE"/>
    <w:rsid w:val="00E736E7"/>
    <w:rsid w:val="00E7379E"/>
    <w:rsid w:val="00E73C28"/>
    <w:rsid w:val="00E743A6"/>
    <w:rsid w:val="00E7451F"/>
    <w:rsid w:val="00E74636"/>
    <w:rsid w:val="00E74BE1"/>
    <w:rsid w:val="00E74DC4"/>
    <w:rsid w:val="00E74EFB"/>
    <w:rsid w:val="00E75007"/>
    <w:rsid w:val="00E75109"/>
    <w:rsid w:val="00E751BE"/>
    <w:rsid w:val="00E757EE"/>
    <w:rsid w:val="00E76497"/>
    <w:rsid w:val="00E76538"/>
    <w:rsid w:val="00E76F22"/>
    <w:rsid w:val="00E77599"/>
    <w:rsid w:val="00E77C50"/>
    <w:rsid w:val="00E77E19"/>
    <w:rsid w:val="00E802DB"/>
    <w:rsid w:val="00E81E26"/>
    <w:rsid w:val="00E81E32"/>
    <w:rsid w:val="00E81F62"/>
    <w:rsid w:val="00E821ED"/>
    <w:rsid w:val="00E82210"/>
    <w:rsid w:val="00E8247E"/>
    <w:rsid w:val="00E82A64"/>
    <w:rsid w:val="00E82C53"/>
    <w:rsid w:val="00E82EF2"/>
    <w:rsid w:val="00E830A1"/>
    <w:rsid w:val="00E830E0"/>
    <w:rsid w:val="00E831CB"/>
    <w:rsid w:val="00E83412"/>
    <w:rsid w:val="00E83425"/>
    <w:rsid w:val="00E83854"/>
    <w:rsid w:val="00E8426E"/>
    <w:rsid w:val="00E846AE"/>
    <w:rsid w:val="00E846DA"/>
    <w:rsid w:val="00E84847"/>
    <w:rsid w:val="00E84AB2"/>
    <w:rsid w:val="00E84B0C"/>
    <w:rsid w:val="00E84F29"/>
    <w:rsid w:val="00E8522E"/>
    <w:rsid w:val="00E85F7E"/>
    <w:rsid w:val="00E860D8"/>
    <w:rsid w:val="00E8662F"/>
    <w:rsid w:val="00E86759"/>
    <w:rsid w:val="00E86767"/>
    <w:rsid w:val="00E86CC5"/>
    <w:rsid w:val="00E86CC9"/>
    <w:rsid w:val="00E86CEC"/>
    <w:rsid w:val="00E86EBB"/>
    <w:rsid w:val="00E86EEF"/>
    <w:rsid w:val="00E86FFA"/>
    <w:rsid w:val="00E8729E"/>
    <w:rsid w:val="00E8737D"/>
    <w:rsid w:val="00E87389"/>
    <w:rsid w:val="00E8772A"/>
    <w:rsid w:val="00E903D2"/>
    <w:rsid w:val="00E905E4"/>
    <w:rsid w:val="00E909C1"/>
    <w:rsid w:val="00E90A73"/>
    <w:rsid w:val="00E90B9F"/>
    <w:rsid w:val="00E90BBD"/>
    <w:rsid w:val="00E90E67"/>
    <w:rsid w:val="00E912AC"/>
    <w:rsid w:val="00E91383"/>
    <w:rsid w:val="00E91C20"/>
    <w:rsid w:val="00E91DD6"/>
    <w:rsid w:val="00E921DD"/>
    <w:rsid w:val="00E922A8"/>
    <w:rsid w:val="00E92B72"/>
    <w:rsid w:val="00E92C23"/>
    <w:rsid w:val="00E93359"/>
    <w:rsid w:val="00E938A3"/>
    <w:rsid w:val="00E93BB1"/>
    <w:rsid w:val="00E94434"/>
    <w:rsid w:val="00E946DF"/>
    <w:rsid w:val="00E949AE"/>
    <w:rsid w:val="00E94CFB"/>
    <w:rsid w:val="00E9519D"/>
    <w:rsid w:val="00E95348"/>
    <w:rsid w:val="00E95874"/>
    <w:rsid w:val="00E9589E"/>
    <w:rsid w:val="00E963FB"/>
    <w:rsid w:val="00E96A6A"/>
    <w:rsid w:val="00E97B03"/>
    <w:rsid w:val="00EA0029"/>
    <w:rsid w:val="00EA03A1"/>
    <w:rsid w:val="00EA04CC"/>
    <w:rsid w:val="00EA0C21"/>
    <w:rsid w:val="00EA0E33"/>
    <w:rsid w:val="00EA0EDF"/>
    <w:rsid w:val="00EA10FE"/>
    <w:rsid w:val="00EA1238"/>
    <w:rsid w:val="00EA13A4"/>
    <w:rsid w:val="00EA141E"/>
    <w:rsid w:val="00EA154A"/>
    <w:rsid w:val="00EA17D6"/>
    <w:rsid w:val="00EA19F4"/>
    <w:rsid w:val="00EA1A0F"/>
    <w:rsid w:val="00EA1B7C"/>
    <w:rsid w:val="00EA1BBD"/>
    <w:rsid w:val="00EA2500"/>
    <w:rsid w:val="00EA2A8C"/>
    <w:rsid w:val="00EA2D2C"/>
    <w:rsid w:val="00EA3160"/>
    <w:rsid w:val="00EA3508"/>
    <w:rsid w:val="00EA3BB0"/>
    <w:rsid w:val="00EA4471"/>
    <w:rsid w:val="00EA480E"/>
    <w:rsid w:val="00EA4A50"/>
    <w:rsid w:val="00EA4B6B"/>
    <w:rsid w:val="00EA539D"/>
    <w:rsid w:val="00EA546B"/>
    <w:rsid w:val="00EA5721"/>
    <w:rsid w:val="00EA5A19"/>
    <w:rsid w:val="00EA5FFB"/>
    <w:rsid w:val="00EA6037"/>
    <w:rsid w:val="00EA6211"/>
    <w:rsid w:val="00EA656F"/>
    <w:rsid w:val="00EA67A3"/>
    <w:rsid w:val="00EA6B8B"/>
    <w:rsid w:val="00EA6C22"/>
    <w:rsid w:val="00EA72E1"/>
    <w:rsid w:val="00EA74C2"/>
    <w:rsid w:val="00EA7A71"/>
    <w:rsid w:val="00EB0102"/>
    <w:rsid w:val="00EB01CD"/>
    <w:rsid w:val="00EB05E4"/>
    <w:rsid w:val="00EB0962"/>
    <w:rsid w:val="00EB0E90"/>
    <w:rsid w:val="00EB0ECD"/>
    <w:rsid w:val="00EB106F"/>
    <w:rsid w:val="00EB17F7"/>
    <w:rsid w:val="00EB20D8"/>
    <w:rsid w:val="00EB21DB"/>
    <w:rsid w:val="00EB2416"/>
    <w:rsid w:val="00EB2792"/>
    <w:rsid w:val="00EB2999"/>
    <w:rsid w:val="00EB2B1D"/>
    <w:rsid w:val="00EB2C32"/>
    <w:rsid w:val="00EB2E15"/>
    <w:rsid w:val="00EB358C"/>
    <w:rsid w:val="00EB3790"/>
    <w:rsid w:val="00EB3A61"/>
    <w:rsid w:val="00EB41AD"/>
    <w:rsid w:val="00EB46AA"/>
    <w:rsid w:val="00EB4919"/>
    <w:rsid w:val="00EB4C8B"/>
    <w:rsid w:val="00EB4DB9"/>
    <w:rsid w:val="00EB4FF9"/>
    <w:rsid w:val="00EB5545"/>
    <w:rsid w:val="00EB5556"/>
    <w:rsid w:val="00EB57B3"/>
    <w:rsid w:val="00EB5821"/>
    <w:rsid w:val="00EB6184"/>
    <w:rsid w:val="00EB6AB5"/>
    <w:rsid w:val="00EB6C58"/>
    <w:rsid w:val="00EB6D5B"/>
    <w:rsid w:val="00EB6E6B"/>
    <w:rsid w:val="00EB7619"/>
    <w:rsid w:val="00EB76E0"/>
    <w:rsid w:val="00EB7845"/>
    <w:rsid w:val="00EB7974"/>
    <w:rsid w:val="00EB79F8"/>
    <w:rsid w:val="00EC025E"/>
    <w:rsid w:val="00EC032C"/>
    <w:rsid w:val="00EC04FB"/>
    <w:rsid w:val="00EC0D1F"/>
    <w:rsid w:val="00EC10DB"/>
    <w:rsid w:val="00EC1259"/>
    <w:rsid w:val="00EC13C6"/>
    <w:rsid w:val="00EC1687"/>
    <w:rsid w:val="00EC2374"/>
    <w:rsid w:val="00EC2E2B"/>
    <w:rsid w:val="00EC33CB"/>
    <w:rsid w:val="00EC35E2"/>
    <w:rsid w:val="00EC3F25"/>
    <w:rsid w:val="00EC4253"/>
    <w:rsid w:val="00EC484E"/>
    <w:rsid w:val="00EC48AC"/>
    <w:rsid w:val="00EC4A15"/>
    <w:rsid w:val="00EC5A54"/>
    <w:rsid w:val="00EC5BA6"/>
    <w:rsid w:val="00EC6539"/>
    <w:rsid w:val="00EC6683"/>
    <w:rsid w:val="00EC696D"/>
    <w:rsid w:val="00EC6C61"/>
    <w:rsid w:val="00EC6CB5"/>
    <w:rsid w:val="00EC7061"/>
    <w:rsid w:val="00EC7FD4"/>
    <w:rsid w:val="00EC7FDA"/>
    <w:rsid w:val="00ED0012"/>
    <w:rsid w:val="00ED07B5"/>
    <w:rsid w:val="00ED0A62"/>
    <w:rsid w:val="00ED0E85"/>
    <w:rsid w:val="00ED0FCE"/>
    <w:rsid w:val="00ED2BDA"/>
    <w:rsid w:val="00ED2E2F"/>
    <w:rsid w:val="00ED2E46"/>
    <w:rsid w:val="00ED40E3"/>
    <w:rsid w:val="00ED477E"/>
    <w:rsid w:val="00ED5040"/>
    <w:rsid w:val="00ED5212"/>
    <w:rsid w:val="00ED524E"/>
    <w:rsid w:val="00ED59D3"/>
    <w:rsid w:val="00ED697B"/>
    <w:rsid w:val="00ED70DA"/>
    <w:rsid w:val="00ED776F"/>
    <w:rsid w:val="00ED7829"/>
    <w:rsid w:val="00ED7B5D"/>
    <w:rsid w:val="00ED7F37"/>
    <w:rsid w:val="00EE031A"/>
    <w:rsid w:val="00EE03A1"/>
    <w:rsid w:val="00EE03AC"/>
    <w:rsid w:val="00EE0F5C"/>
    <w:rsid w:val="00EE12B9"/>
    <w:rsid w:val="00EE1505"/>
    <w:rsid w:val="00EE1703"/>
    <w:rsid w:val="00EE1B8B"/>
    <w:rsid w:val="00EE20AF"/>
    <w:rsid w:val="00EE2368"/>
    <w:rsid w:val="00EE29E1"/>
    <w:rsid w:val="00EE2A6D"/>
    <w:rsid w:val="00EE2CC3"/>
    <w:rsid w:val="00EE3108"/>
    <w:rsid w:val="00EE338D"/>
    <w:rsid w:val="00EE3681"/>
    <w:rsid w:val="00EE49E0"/>
    <w:rsid w:val="00EE4C26"/>
    <w:rsid w:val="00EE50F7"/>
    <w:rsid w:val="00EE5485"/>
    <w:rsid w:val="00EE5CDC"/>
    <w:rsid w:val="00EE5DA6"/>
    <w:rsid w:val="00EE5ECC"/>
    <w:rsid w:val="00EE623D"/>
    <w:rsid w:val="00EE64CD"/>
    <w:rsid w:val="00EE65FF"/>
    <w:rsid w:val="00EE728A"/>
    <w:rsid w:val="00EF02FB"/>
    <w:rsid w:val="00EF0844"/>
    <w:rsid w:val="00EF09C0"/>
    <w:rsid w:val="00EF0D6F"/>
    <w:rsid w:val="00EF0DD7"/>
    <w:rsid w:val="00EF1048"/>
    <w:rsid w:val="00EF13F5"/>
    <w:rsid w:val="00EF1B50"/>
    <w:rsid w:val="00EF1B68"/>
    <w:rsid w:val="00EF21A2"/>
    <w:rsid w:val="00EF27E1"/>
    <w:rsid w:val="00EF2BEF"/>
    <w:rsid w:val="00EF32FA"/>
    <w:rsid w:val="00EF428D"/>
    <w:rsid w:val="00EF43A0"/>
    <w:rsid w:val="00EF4A7F"/>
    <w:rsid w:val="00EF4C88"/>
    <w:rsid w:val="00EF4D77"/>
    <w:rsid w:val="00EF4E03"/>
    <w:rsid w:val="00EF4EAD"/>
    <w:rsid w:val="00EF5384"/>
    <w:rsid w:val="00EF5447"/>
    <w:rsid w:val="00EF5809"/>
    <w:rsid w:val="00EF63CA"/>
    <w:rsid w:val="00EF643E"/>
    <w:rsid w:val="00EF6459"/>
    <w:rsid w:val="00EF682B"/>
    <w:rsid w:val="00EF7444"/>
    <w:rsid w:val="00EF777C"/>
    <w:rsid w:val="00EF7AB7"/>
    <w:rsid w:val="00EF7B78"/>
    <w:rsid w:val="00EF7F02"/>
    <w:rsid w:val="00F00417"/>
    <w:rsid w:val="00F005C7"/>
    <w:rsid w:val="00F00644"/>
    <w:rsid w:val="00F0077D"/>
    <w:rsid w:val="00F0080D"/>
    <w:rsid w:val="00F01206"/>
    <w:rsid w:val="00F01472"/>
    <w:rsid w:val="00F0147C"/>
    <w:rsid w:val="00F01688"/>
    <w:rsid w:val="00F01A0E"/>
    <w:rsid w:val="00F01B2E"/>
    <w:rsid w:val="00F01BC7"/>
    <w:rsid w:val="00F01EEF"/>
    <w:rsid w:val="00F01F0D"/>
    <w:rsid w:val="00F023B2"/>
    <w:rsid w:val="00F0272E"/>
    <w:rsid w:val="00F02BED"/>
    <w:rsid w:val="00F03E98"/>
    <w:rsid w:val="00F03FA7"/>
    <w:rsid w:val="00F04243"/>
    <w:rsid w:val="00F0485B"/>
    <w:rsid w:val="00F052C3"/>
    <w:rsid w:val="00F0530B"/>
    <w:rsid w:val="00F055DF"/>
    <w:rsid w:val="00F05AD8"/>
    <w:rsid w:val="00F05B10"/>
    <w:rsid w:val="00F05C91"/>
    <w:rsid w:val="00F0658D"/>
    <w:rsid w:val="00F06A91"/>
    <w:rsid w:val="00F06B82"/>
    <w:rsid w:val="00F06F61"/>
    <w:rsid w:val="00F0731D"/>
    <w:rsid w:val="00F077ED"/>
    <w:rsid w:val="00F079B1"/>
    <w:rsid w:val="00F10016"/>
    <w:rsid w:val="00F10385"/>
    <w:rsid w:val="00F1090A"/>
    <w:rsid w:val="00F10936"/>
    <w:rsid w:val="00F10969"/>
    <w:rsid w:val="00F1097A"/>
    <w:rsid w:val="00F10B7D"/>
    <w:rsid w:val="00F114BC"/>
    <w:rsid w:val="00F115AA"/>
    <w:rsid w:val="00F120BA"/>
    <w:rsid w:val="00F121CE"/>
    <w:rsid w:val="00F12239"/>
    <w:rsid w:val="00F128E0"/>
    <w:rsid w:val="00F12AA2"/>
    <w:rsid w:val="00F12C57"/>
    <w:rsid w:val="00F13258"/>
    <w:rsid w:val="00F1337D"/>
    <w:rsid w:val="00F133E1"/>
    <w:rsid w:val="00F137B8"/>
    <w:rsid w:val="00F13C8F"/>
    <w:rsid w:val="00F13D84"/>
    <w:rsid w:val="00F140A2"/>
    <w:rsid w:val="00F14338"/>
    <w:rsid w:val="00F1441D"/>
    <w:rsid w:val="00F144BC"/>
    <w:rsid w:val="00F1483E"/>
    <w:rsid w:val="00F14B1D"/>
    <w:rsid w:val="00F14EF8"/>
    <w:rsid w:val="00F152D0"/>
    <w:rsid w:val="00F1573D"/>
    <w:rsid w:val="00F15792"/>
    <w:rsid w:val="00F157F9"/>
    <w:rsid w:val="00F158F8"/>
    <w:rsid w:val="00F15B60"/>
    <w:rsid w:val="00F15D4B"/>
    <w:rsid w:val="00F15D66"/>
    <w:rsid w:val="00F160AE"/>
    <w:rsid w:val="00F16458"/>
    <w:rsid w:val="00F1657F"/>
    <w:rsid w:val="00F16DEC"/>
    <w:rsid w:val="00F16EF1"/>
    <w:rsid w:val="00F17349"/>
    <w:rsid w:val="00F1771A"/>
    <w:rsid w:val="00F2000B"/>
    <w:rsid w:val="00F200A6"/>
    <w:rsid w:val="00F2016E"/>
    <w:rsid w:val="00F20A47"/>
    <w:rsid w:val="00F20CBF"/>
    <w:rsid w:val="00F20D3B"/>
    <w:rsid w:val="00F210CF"/>
    <w:rsid w:val="00F21618"/>
    <w:rsid w:val="00F2164D"/>
    <w:rsid w:val="00F2165E"/>
    <w:rsid w:val="00F21F33"/>
    <w:rsid w:val="00F22396"/>
    <w:rsid w:val="00F227D0"/>
    <w:rsid w:val="00F22F81"/>
    <w:rsid w:val="00F231F1"/>
    <w:rsid w:val="00F2362D"/>
    <w:rsid w:val="00F238A6"/>
    <w:rsid w:val="00F23A05"/>
    <w:rsid w:val="00F23ED4"/>
    <w:rsid w:val="00F249C2"/>
    <w:rsid w:val="00F24A3F"/>
    <w:rsid w:val="00F24D56"/>
    <w:rsid w:val="00F25159"/>
    <w:rsid w:val="00F253F0"/>
    <w:rsid w:val="00F25CA4"/>
    <w:rsid w:val="00F26834"/>
    <w:rsid w:val="00F26842"/>
    <w:rsid w:val="00F26999"/>
    <w:rsid w:val="00F26A02"/>
    <w:rsid w:val="00F26CAA"/>
    <w:rsid w:val="00F26F08"/>
    <w:rsid w:val="00F2735B"/>
    <w:rsid w:val="00F273B1"/>
    <w:rsid w:val="00F277E7"/>
    <w:rsid w:val="00F302E3"/>
    <w:rsid w:val="00F304CE"/>
    <w:rsid w:val="00F306A4"/>
    <w:rsid w:val="00F30A9D"/>
    <w:rsid w:val="00F30C00"/>
    <w:rsid w:val="00F30FE0"/>
    <w:rsid w:val="00F31091"/>
    <w:rsid w:val="00F31BBF"/>
    <w:rsid w:val="00F320B5"/>
    <w:rsid w:val="00F328D8"/>
    <w:rsid w:val="00F33729"/>
    <w:rsid w:val="00F338AA"/>
    <w:rsid w:val="00F33A84"/>
    <w:rsid w:val="00F34211"/>
    <w:rsid w:val="00F34684"/>
    <w:rsid w:val="00F347CB"/>
    <w:rsid w:val="00F347CD"/>
    <w:rsid w:val="00F347D0"/>
    <w:rsid w:val="00F347D9"/>
    <w:rsid w:val="00F34BBD"/>
    <w:rsid w:val="00F35169"/>
    <w:rsid w:val="00F356F3"/>
    <w:rsid w:val="00F35766"/>
    <w:rsid w:val="00F35874"/>
    <w:rsid w:val="00F35CEF"/>
    <w:rsid w:val="00F36402"/>
    <w:rsid w:val="00F37D45"/>
    <w:rsid w:val="00F37D62"/>
    <w:rsid w:val="00F404FF"/>
    <w:rsid w:val="00F40AE6"/>
    <w:rsid w:val="00F40D7E"/>
    <w:rsid w:val="00F40F7A"/>
    <w:rsid w:val="00F4196B"/>
    <w:rsid w:val="00F41A2C"/>
    <w:rsid w:val="00F41B57"/>
    <w:rsid w:val="00F41B88"/>
    <w:rsid w:val="00F41BE0"/>
    <w:rsid w:val="00F41CE7"/>
    <w:rsid w:val="00F41DFB"/>
    <w:rsid w:val="00F41E24"/>
    <w:rsid w:val="00F4285A"/>
    <w:rsid w:val="00F428C5"/>
    <w:rsid w:val="00F429B5"/>
    <w:rsid w:val="00F42E84"/>
    <w:rsid w:val="00F4305D"/>
    <w:rsid w:val="00F434A2"/>
    <w:rsid w:val="00F434A3"/>
    <w:rsid w:val="00F434E0"/>
    <w:rsid w:val="00F43871"/>
    <w:rsid w:val="00F443D8"/>
    <w:rsid w:val="00F448FE"/>
    <w:rsid w:val="00F449A9"/>
    <w:rsid w:val="00F44C26"/>
    <w:rsid w:val="00F44D5E"/>
    <w:rsid w:val="00F44E61"/>
    <w:rsid w:val="00F4558C"/>
    <w:rsid w:val="00F457C6"/>
    <w:rsid w:val="00F45D99"/>
    <w:rsid w:val="00F45E69"/>
    <w:rsid w:val="00F460D2"/>
    <w:rsid w:val="00F462DD"/>
    <w:rsid w:val="00F467A3"/>
    <w:rsid w:val="00F47007"/>
    <w:rsid w:val="00F47512"/>
    <w:rsid w:val="00F47EC0"/>
    <w:rsid w:val="00F47F63"/>
    <w:rsid w:val="00F50C03"/>
    <w:rsid w:val="00F50EFD"/>
    <w:rsid w:val="00F51364"/>
    <w:rsid w:val="00F519A9"/>
    <w:rsid w:val="00F51C01"/>
    <w:rsid w:val="00F51F01"/>
    <w:rsid w:val="00F523E8"/>
    <w:rsid w:val="00F52466"/>
    <w:rsid w:val="00F529C9"/>
    <w:rsid w:val="00F52A44"/>
    <w:rsid w:val="00F52E4D"/>
    <w:rsid w:val="00F52E6C"/>
    <w:rsid w:val="00F531AA"/>
    <w:rsid w:val="00F531C8"/>
    <w:rsid w:val="00F53EB2"/>
    <w:rsid w:val="00F54022"/>
    <w:rsid w:val="00F54183"/>
    <w:rsid w:val="00F542CE"/>
    <w:rsid w:val="00F545BB"/>
    <w:rsid w:val="00F5483C"/>
    <w:rsid w:val="00F549A4"/>
    <w:rsid w:val="00F551B0"/>
    <w:rsid w:val="00F558FB"/>
    <w:rsid w:val="00F55A87"/>
    <w:rsid w:val="00F55E2F"/>
    <w:rsid w:val="00F563B1"/>
    <w:rsid w:val="00F566BB"/>
    <w:rsid w:val="00F566E4"/>
    <w:rsid w:val="00F568EE"/>
    <w:rsid w:val="00F56CCE"/>
    <w:rsid w:val="00F56D2E"/>
    <w:rsid w:val="00F56F8F"/>
    <w:rsid w:val="00F57266"/>
    <w:rsid w:val="00F572D5"/>
    <w:rsid w:val="00F572DA"/>
    <w:rsid w:val="00F573D0"/>
    <w:rsid w:val="00F5749C"/>
    <w:rsid w:val="00F5775E"/>
    <w:rsid w:val="00F57838"/>
    <w:rsid w:val="00F60134"/>
    <w:rsid w:val="00F607AD"/>
    <w:rsid w:val="00F613F8"/>
    <w:rsid w:val="00F61582"/>
    <w:rsid w:val="00F61737"/>
    <w:rsid w:val="00F62136"/>
    <w:rsid w:val="00F622AC"/>
    <w:rsid w:val="00F62F3A"/>
    <w:rsid w:val="00F6318F"/>
    <w:rsid w:val="00F63248"/>
    <w:rsid w:val="00F634BD"/>
    <w:rsid w:val="00F64535"/>
    <w:rsid w:val="00F64578"/>
    <w:rsid w:val="00F64CD1"/>
    <w:rsid w:val="00F65564"/>
    <w:rsid w:val="00F65ECF"/>
    <w:rsid w:val="00F65F05"/>
    <w:rsid w:val="00F66285"/>
    <w:rsid w:val="00F664C2"/>
    <w:rsid w:val="00F665C1"/>
    <w:rsid w:val="00F6668B"/>
    <w:rsid w:val="00F6695E"/>
    <w:rsid w:val="00F66B87"/>
    <w:rsid w:val="00F67738"/>
    <w:rsid w:val="00F67D3B"/>
    <w:rsid w:val="00F701C3"/>
    <w:rsid w:val="00F70468"/>
    <w:rsid w:val="00F7104F"/>
    <w:rsid w:val="00F71440"/>
    <w:rsid w:val="00F718A5"/>
    <w:rsid w:val="00F71B76"/>
    <w:rsid w:val="00F71F84"/>
    <w:rsid w:val="00F720C1"/>
    <w:rsid w:val="00F7228A"/>
    <w:rsid w:val="00F72EB6"/>
    <w:rsid w:val="00F73527"/>
    <w:rsid w:val="00F739D1"/>
    <w:rsid w:val="00F73B44"/>
    <w:rsid w:val="00F742CF"/>
    <w:rsid w:val="00F745FD"/>
    <w:rsid w:val="00F74DA0"/>
    <w:rsid w:val="00F74ED0"/>
    <w:rsid w:val="00F75546"/>
    <w:rsid w:val="00F75B9E"/>
    <w:rsid w:val="00F760BD"/>
    <w:rsid w:val="00F76F19"/>
    <w:rsid w:val="00F779A9"/>
    <w:rsid w:val="00F77B23"/>
    <w:rsid w:val="00F77E05"/>
    <w:rsid w:val="00F77EA7"/>
    <w:rsid w:val="00F801DF"/>
    <w:rsid w:val="00F80545"/>
    <w:rsid w:val="00F80678"/>
    <w:rsid w:val="00F80A3D"/>
    <w:rsid w:val="00F80B44"/>
    <w:rsid w:val="00F80E24"/>
    <w:rsid w:val="00F818FB"/>
    <w:rsid w:val="00F82A76"/>
    <w:rsid w:val="00F82B3E"/>
    <w:rsid w:val="00F83700"/>
    <w:rsid w:val="00F83C73"/>
    <w:rsid w:val="00F83FBF"/>
    <w:rsid w:val="00F8449C"/>
    <w:rsid w:val="00F8456A"/>
    <w:rsid w:val="00F846E3"/>
    <w:rsid w:val="00F84797"/>
    <w:rsid w:val="00F848C2"/>
    <w:rsid w:val="00F84D7F"/>
    <w:rsid w:val="00F850B5"/>
    <w:rsid w:val="00F857DC"/>
    <w:rsid w:val="00F85E81"/>
    <w:rsid w:val="00F85FF3"/>
    <w:rsid w:val="00F861C7"/>
    <w:rsid w:val="00F86867"/>
    <w:rsid w:val="00F86B4A"/>
    <w:rsid w:val="00F8720E"/>
    <w:rsid w:val="00F872CB"/>
    <w:rsid w:val="00F87403"/>
    <w:rsid w:val="00F87AEB"/>
    <w:rsid w:val="00F87C9B"/>
    <w:rsid w:val="00F90207"/>
    <w:rsid w:val="00F9068D"/>
    <w:rsid w:val="00F9085C"/>
    <w:rsid w:val="00F90C2E"/>
    <w:rsid w:val="00F90DC2"/>
    <w:rsid w:val="00F90F6B"/>
    <w:rsid w:val="00F91042"/>
    <w:rsid w:val="00F9126F"/>
    <w:rsid w:val="00F9130F"/>
    <w:rsid w:val="00F913FB"/>
    <w:rsid w:val="00F91C5E"/>
    <w:rsid w:val="00F91F48"/>
    <w:rsid w:val="00F925CE"/>
    <w:rsid w:val="00F92C96"/>
    <w:rsid w:val="00F93702"/>
    <w:rsid w:val="00F9378C"/>
    <w:rsid w:val="00F93A29"/>
    <w:rsid w:val="00F93BD4"/>
    <w:rsid w:val="00F93CE9"/>
    <w:rsid w:val="00F9404E"/>
    <w:rsid w:val="00F94164"/>
    <w:rsid w:val="00F94188"/>
    <w:rsid w:val="00F94708"/>
    <w:rsid w:val="00F9471D"/>
    <w:rsid w:val="00F953C7"/>
    <w:rsid w:val="00F9573E"/>
    <w:rsid w:val="00F95AEC"/>
    <w:rsid w:val="00F95B87"/>
    <w:rsid w:val="00F9632B"/>
    <w:rsid w:val="00F9662A"/>
    <w:rsid w:val="00F96D59"/>
    <w:rsid w:val="00F96EBF"/>
    <w:rsid w:val="00F96F5E"/>
    <w:rsid w:val="00F9702F"/>
    <w:rsid w:val="00F97508"/>
    <w:rsid w:val="00F97661"/>
    <w:rsid w:val="00FA0764"/>
    <w:rsid w:val="00FA0811"/>
    <w:rsid w:val="00FA0DA9"/>
    <w:rsid w:val="00FA15D3"/>
    <w:rsid w:val="00FA2446"/>
    <w:rsid w:val="00FA29F7"/>
    <w:rsid w:val="00FA2F17"/>
    <w:rsid w:val="00FA3A67"/>
    <w:rsid w:val="00FA3ABD"/>
    <w:rsid w:val="00FA3CE7"/>
    <w:rsid w:val="00FA4704"/>
    <w:rsid w:val="00FA4A51"/>
    <w:rsid w:val="00FA4CE1"/>
    <w:rsid w:val="00FA4EC8"/>
    <w:rsid w:val="00FA65C1"/>
    <w:rsid w:val="00FA65D8"/>
    <w:rsid w:val="00FA677F"/>
    <w:rsid w:val="00FA6CAE"/>
    <w:rsid w:val="00FA6CCA"/>
    <w:rsid w:val="00FA6DF3"/>
    <w:rsid w:val="00FA701C"/>
    <w:rsid w:val="00FA77DF"/>
    <w:rsid w:val="00FA7CA0"/>
    <w:rsid w:val="00FB00A7"/>
    <w:rsid w:val="00FB0775"/>
    <w:rsid w:val="00FB08E2"/>
    <w:rsid w:val="00FB0F02"/>
    <w:rsid w:val="00FB140F"/>
    <w:rsid w:val="00FB1580"/>
    <w:rsid w:val="00FB1CF1"/>
    <w:rsid w:val="00FB224D"/>
    <w:rsid w:val="00FB265E"/>
    <w:rsid w:val="00FB332E"/>
    <w:rsid w:val="00FB3412"/>
    <w:rsid w:val="00FB34C0"/>
    <w:rsid w:val="00FB389A"/>
    <w:rsid w:val="00FB425A"/>
    <w:rsid w:val="00FB45DA"/>
    <w:rsid w:val="00FB4761"/>
    <w:rsid w:val="00FB4853"/>
    <w:rsid w:val="00FB49CE"/>
    <w:rsid w:val="00FB4BFB"/>
    <w:rsid w:val="00FB4C8A"/>
    <w:rsid w:val="00FB4D06"/>
    <w:rsid w:val="00FB4D31"/>
    <w:rsid w:val="00FB50FB"/>
    <w:rsid w:val="00FB5B0A"/>
    <w:rsid w:val="00FB5B3F"/>
    <w:rsid w:val="00FB5FA4"/>
    <w:rsid w:val="00FB60B6"/>
    <w:rsid w:val="00FB661A"/>
    <w:rsid w:val="00FB69C9"/>
    <w:rsid w:val="00FB6D5C"/>
    <w:rsid w:val="00FB6D60"/>
    <w:rsid w:val="00FB6EC4"/>
    <w:rsid w:val="00FB7046"/>
    <w:rsid w:val="00FB7ABB"/>
    <w:rsid w:val="00FC04FE"/>
    <w:rsid w:val="00FC081F"/>
    <w:rsid w:val="00FC0EEA"/>
    <w:rsid w:val="00FC115C"/>
    <w:rsid w:val="00FC154A"/>
    <w:rsid w:val="00FC1621"/>
    <w:rsid w:val="00FC1BB3"/>
    <w:rsid w:val="00FC1E09"/>
    <w:rsid w:val="00FC1E37"/>
    <w:rsid w:val="00FC2B6A"/>
    <w:rsid w:val="00FC2E9D"/>
    <w:rsid w:val="00FC330B"/>
    <w:rsid w:val="00FC3500"/>
    <w:rsid w:val="00FC3680"/>
    <w:rsid w:val="00FC3722"/>
    <w:rsid w:val="00FC3BED"/>
    <w:rsid w:val="00FC3DF1"/>
    <w:rsid w:val="00FC3E99"/>
    <w:rsid w:val="00FC41CA"/>
    <w:rsid w:val="00FC42B2"/>
    <w:rsid w:val="00FC4AF2"/>
    <w:rsid w:val="00FC4FE2"/>
    <w:rsid w:val="00FC52A7"/>
    <w:rsid w:val="00FC5AAB"/>
    <w:rsid w:val="00FC5BC6"/>
    <w:rsid w:val="00FC6076"/>
    <w:rsid w:val="00FC61E6"/>
    <w:rsid w:val="00FC63DB"/>
    <w:rsid w:val="00FC67A6"/>
    <w:rsid w:val="00FC6866"/>
    <w:rsid w:val="00FD014A"/>
    <w:rsid w:val="00FD0273"/>
    <w:rsid w:val="00FD02DF"/>
    <w:rsid w:val="00FD0656"/>
    <w:rsid w:val="00FD065F"/>
    <w:rsid w:val="00FD0741"/>
    <w:rsid w:val="00FD08F4"/>
    <w:rsid w:val="00FD0D1D"/>
    <w:rsid w:val="00FD0F2A"/>
    <w:rsid w:val="00FD1002"/>
    <w:rsid w:val="00FD134D"/>
    <w:rsid w:val="00FD14E9"/>
    <w:rsid w:val="00FD1A5F"/>
    <w:rsid w:val="00FD1DB1"/>
    <w:rsid w:val="00FD221D"/>
    <w:rsid w:val="00FD2457"/>
    <w:rsid w:val="00FD28BE"/>
    <w:rsid w:val="00FD2E0E"/>
    <w:rsid w:val="00FD2E12"/>
    <w:rsid w:val="00FD3119"/>
    <w:rsid w:val="00FD36A3"/>
    <w:rsid w:val="00FD3F73"/>
    <w:rsid w:val="00FD42D9"/>
    <w:rsid w:val="00FD44FC"/>
    <w:rsid w:val="00FD49A9"/>
    <w:rsid w:val="00FD53C9"/>
    <w:rsid w:val="00FD550C"/>
    <w:rsid w:val="00FD5555"/>
    <w:rsid w:val="00FD6049"/>
    <w:rsid w:val="00FD6371"/>
    <w:rsid w:val="00FD69C8"/>
    <w:rsid w:val="00FD6BEC"/>
    <w:rsid w:val="00FD714E"/>
    <w:rsid w:val="00FD7891"/>
    <w:rsid w:val="00FE089E"/>
    <w:rsid w:val="00FE0C35"/>
    <w:rsid w:val="00FE1046"/>
    <w:rsid w:val="00FE15A4"/>
    <w:rsid w:val="00FE2167"/>
    <w:rsid w:val="00FE232F"/>
    <w:rsid w:val="00FE25F2"/>
    <w:rsid w:val="00FE260A"/>
    <w:rsid w:val="00FE26C3"/>
    <w:rsid w:val="00FE2968"/>
    <w:rsid w:val="00FE34EB"/>
    <w:rsid w:val="00FE3799"/>
    <w:rsid w:val="00FE394E"/>
    <w:rsid w:val="00FE3D20"/>
    <w:rsid w:val="00FE403B"/>
    <w:rsid w:val="00FE41F1"/>
    <w:rsid w:val="00FE4910"/>
    <w:rsid w:val="00FE492F"/>
    <w:rsid w:val="00FE4E51"/>
    <w:rsid w:val="00FE4F96"/>
    <w:rsid w:val="00FE53A6"/>
    <w:rsid w:val="00FE573D"/>
    <w:rsid w:val="00FE5E15"/>
    <w:rsid w:val="00FE602E"/>
    <w:rsid w:val="00FE6854"/>
    <w:rsid w:val="00FE69C8"/>
    <w:rsid w:val="00FE6A4A"/>
    <w:rsid w:val="00FE7266"/>
    <w:rsid w:val="00FE737C"/>
    <w:rsid w:val="00FE7741"/>
    <w:rsid w:val="00FF0452"/>
    <w:rsid w:val="00FF0D0E"/>
    <w:rsid w:val="00FF0DDE"/>
    <w:rsid w:val="00FF18FB"/>
    <w:rsid w:val="00FF19BA"/>
    <w:rsid w:val="00FF2B8A"/>
    <w:rsid w:val="00FF2DBB"/>
    <w:rsid w:val="00FF2F05"/>
    <w:rsid w:val="00FF310C"/>
    <w:rsid w:val="00FF321C"/>
    <w:rsid w:val="00FF323C"/>
    <w:rsid w:val="00FF39D9"/>
    <w:rsid w:val="00FF3F2D"/>
    <w:rsid w:val="00FF41DD"/>
    <w:rsid w:val="00FF43A2"/>
    <w:rsid w:val="00FF4564"/>
    <w:rsid w:val="00FF46FE"/>
    <w:rsid w:val="00FF4AD0"/>
    <w:rsid w:val="00FF5477"/>
    <w:rsid w:val="00FF54C7"/>
    <w:rsid w:val="00FF5699"/>
    <w:rsid w:val="00FF5BF6"/>
    <w:rsid w:val="00FF608A"/>
    <w:rsid w:val="00FF619F"/>
    <w:rsid w:val="00FF6262"/>
    <w:rsid w:val="00FF645A"/>
    <w:rsid w:val="00FF66C2"/>
    <w:rsid w:val="00FF677E"/>
    <w:rsid w:val="00FF692E"/>
    <w:rsid w:val="00FF6F8A"/>
    <w:rsid w:val="00FF7739"/>
    <w:rsid w:val="00FF7B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005B"/>
  <w14:discardImageEditingData/>
  <w14:defaultImageDpi w14:val="32767"/>
  <w15:chartTrackingRefBased/>
  <w15:docId w15:val="{10E3CE17-9DC6-4F6B-BC19-45C25679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0"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D88"/>
    <w:pPr>
      <w:bidi/>
    </w:pPr>
  </w:style>
  <w:style w:type="paragraph" w:styleId="Heading1">
    <w:name w:val="heading 1"/>
    <w:basedOn w:val="Normal"/>
    <w:next w:val="BodyText"/>
    <w:link w:val="Heading1Char"/>
    <w:uiPriority w:val="9"/>
    <w:qFormat/>
    <w:rsid w:val="00F73527"/>
    <w:pPr>
      <w:keepNext/>
      <w:keepLines/>
      <w:numPr>
        <w:numId w:val="7"/>
      </w:numPr>
      <w:bidi w:val="0"/>
      <w:spacing w:before="480" w:after="0" w:line="240" w:lineRule="auto"/>
      <w:outlineLvl w:val="0"/>
    </w:pPr>
    <w:rPr>
      <w:rFonts w:asciiTheme="majorHAnsi" w:eastAsiaTheme="majorEastAsia" w:hAnsiTheme="majorHAnsi" w:cstheme="majorBidi"/>
      <w:b/>
      <w:bCs/>
      <w:color w:val="4F81BD" w:themeColor="accent1"/>
      <w:sz w:val="32"/>
      <w:szCs w:val="32"/>
      <w:lang w:bidi="ar-SA"/>
    </w:rPr>
  </w:style>
  <w:style w:type="paragraph" w:styleId="Heading2">
    <w:name w:val="heading 2"/>
    <w:basedOn w:val="Heading1"/>
    <w:next w:val="BodyText"/>
    <w:link w:val="Heading2Char"/>
    <w:autoRedefine/>
    <w:uiPriority w:val="9"/>
    <w:unhideWhenUsed/>
    <w:qFormat/>
    <w:rsid w:val="00426E3A"/>
    <w:pPr>
      <w:numPr>
        <w:ilvl w:val="1"/>
      </w:numPr>
      <w:outlineLvl w:val="1"/>
    </w:pPr>
    <w:rPr>
      <w:sz w:val="28"/>
      <w:szCs w:val="28"/>
    </w:rPr>
  </w:style>
  <w:style w:type="paragraph" w:styleId="Heading3">
    <w:name w:val="heading 3"/>
    <w:basedOn w:val="Normal"/>
    <w:next w:val="BodyText"/>
    <w:link w:val="Heading3Char"/>
    <w:autoRedefine/>
    <w:uiPriority w:val="9"/>
    <w:unhideWhenUsed/>
    <w:qFormat/>
    <w:rsid w:val="005721F1"/>
    <w:pPr>
      <w:keepNext/>
      <w:keepLines/>
      <w:numPr>
        <w:ilvl w:val="2"/>
        <w:numId w:val="7"/>
      </w:numPr>
      <w:bidi w:val="0"/>
      <w:spacing w:before="200" w:after="0" w:line="240" w:lineRule="auto"/>
      <w:outlineLvl w:val="2"/>
    </w:pPr>
    <w:rPr>
      <w:rFonts w:asciiTheme="majorHAnsi" w:eastAsiaTheme="majorEastAsia" w:hAnsiTheme="majorHAnsi" w:cstheme="majorBidi"/>
      <w:b/>
      <w:bCs/>
      <w:color w:val="4F81BD" w:themeColor="accent1"/>
      <w:sz w:val="24"/>
      <w:szCs w:val="24"/>
      <w:lang w:bidi="ar-SA"/>
    </w:rPr>
  </w:style>
  <w:style w:type="paragraph" w:styleId="Heading4">
    <w:name w:val="heading 4"/>
    <w:basedOn w:val="Normal"/>
    <w:next w:val="BodyText"/>
    <w:link w:val="Heading4Char"/>
    <w:uiPriority w:val="9"/>
    <w:unhideWhenUsed/>
    <w:qFormat/>
    <w:rsid w:val="005721F1"/>
    <w:pPr>
      <w:keepNext/>
      <w:keepLines/>
      <w:numPr>
        <w:ilvl w:val="3"/>
        <w:numId w:val="7"/>
      </w:numPr>
      <w:bidi w:val="0"/>
      <w:spacing w:before="200" w:after="0" w:line="240" w:lineRule="auto"/>
      <w:outlineLvl w:val="3"/>
    </w:pPr>
    <w:rPr>
      <w:rFonts w:asciiTheme="majorHAnsi" w:eastAsiaTheme="majorEastAsia" w:hAnsiTheme="majorHAnsi" w:cstheme="majorBidi"/>
      <w:bCs/>
      <w:i/>
      <w:color w:val="4F81BD" w:themeColor="accent1"/>
      <w:sz w:val="24"/>
      <w:szCs w:val="24"/>
      <w:lang w:bidi="ar-SA"/>
    </w:rPr>
  </w:style>
  <w:style w:type="paragraph" w:styleId="Heading5">
    <w:name w:val="heading 5"/>
    <w:basedOn w:val="Normal"/>
    <w:next w:val="BodyText"/>
    <w:link w:val="Heading5Char"/>
    <w:uiPriority w:val="9"/>
    <w:unhideWhenUsed/>
    <w:qFormat/>
    <w:rsid w:val="005721F1"/>
    <w:pPr>
      <w:keepNext/>
      <w:keepLines/>
      <w:numPr>
        <w:ilvl w:val="4"/>
        <w:numId w:val="7"/>
      </w:numPr>
      <w:bidi w:val="0"/>
      <w:spacing w:before="200" w:after="0" w:line="240" w:lineRule="auto"/>
      <w:outlineLvl w:val="4"/>
    </w:pPr>
    <w:rPr>
      <w:rFonts w:asciiTheme="majorHAnsi" w:eastAsiaTheme="majorEastAsia" w:hAnsiTheme="majorHAnsi" w:cstheme="majorBidi"/>
      <w:iCs/>
      <w:color w:val="4F81BD" w:themeColor="accent1"/>
      <w:sz w:val="24"/>
      <w:szCs w:val="24"/>
      <w:lang w:bidi="ar-SA"/>
    </w:rPr>
  </w:style>
  <w:style w:type="paragraph" w:styleId="Heading6">
    <w:name w:val="heading 6"/>
    <w:basedOn w:val="Normal"/>
    <w:next w:val="BodyText"/>
    <w:link w:val="Heading6Char"/>
    <w:uiPriority w:val="9"/>
    <w:unhideWhenUsed/>
    <w:qFormat/>
    <w:rsid w:val="005721F1"/>
    <w:pPr>
      <w:keepNext/>
      <w:keepLines/>
      <w:numPr>
        <w:ilvl w:val="5"/>
        <w:numId w:val="7"/>
      </w:numPr>
      <w:bidi w:val="0"/>
      <w:spacing w:before="200" w:after="0" w:line="240" w:lineRule="auto"/>
      <w:outlineLvl w:val="5"/>
    </w:pPr>
    <w:rPr>
      <w:rFonts w:asciiTheme="majorHAnsi" w:eastAsiaTheme="majorEastAsia" w:hAnsiTheme="majorHAnsi" w:cstheme="majorBidi"/>
      <w:color w:val="4F81BD" w:themeColor="accent1"/>
      <w:sz w:val="24"/>
      <w:szCs w:val="24"/>
      <w:lang w:bidi="ar-SA"/>
    </w:rPr>
  </w:style>
  <w:style w:type="paragraph" w:styleId="Heading7">
    <w:name w:val="heading 7"/>
    <w:basedOn w:val="Normal"/>
    <w:next w:val="BodyText"/>
    <w:link w:val="Heading7Char"/>
    <w:uiPriority w:val="9"/>
    <w:unhideWhenUsed/>
    <w:qFormat/>
    <w:rsid w:val="005721F1"/>
    <w:pPr>
      <w:keepNext/>
      <w:keepLines/>
      <w:numPr>
        <w:ilvl w:val="6"/>
        <w:numId w:val="7"/>
      </w:numPr>
      <w:bidi w:val="0"/>
      <w:spacing w:before="200" w:after="0" w:line="240" w:lineRule="auto"/>
      <w:outlineLvl w:val="6"/>
    </w:pPr>
    <w:rPr>
      <w:rFonts w:asciiTheme="majorHAnsi" w:eastAsiaTheme="majorEastAsia" w:hAnsiTheme="majorHAnsi" w:cstheme="majorBidi"/>
      <w:color w:val="4F81BD" w:themeColor="accent1"/>
      <w:sz w:val="24"/>
      <w:szCs w:val="24"/>
      <w:lang w:bidi="ar-SA"/>
    </w:rPr>
  </w:style>
  <w:style w:type="paragraph" w:styleId="Heading8">
    <w:name w:val="heading 8"/>
    <w:basedOn w:val="Normal"/>
    <w:next w:val="BodyText"/>
    <w:link w:val="Heading8Char"/>
    <w:uiPriority w:val="9"/>
    <w:unhideWhenUsed/>
    <w:qFormat/>
    <w:rsid w:val="005721F1"/>
    <w:pPr>
      <w:keepNext/>
      <w:keepLines/>
      <w:numPr>
        <w:ilvl w:val="7"/>
        <w:numId w:val="7"/>
      </w:numPr>
      <w:bidi w:val="0"/>
      <w:spacing w:before="200" w:after="0" w:line="240" w:lineRule="auto"/>
      <w:outlineLvl w:val="7"/>
    </w:pPr>
    <w:rPr>
      <w:rFonts w:asciiTheme="majorHAnsi" w:eastAsiaTheme="majorEastAsia" w:hAnsiTheme="majorHAnsi" w:cstheme="majorBidi"/>
      <w:color w:val="4F81BD" w:themeColor="accent1"/>
      <w:sz w:val="24"/>
      <w:szCs w:val="24"/>
      <w:lang w:bidi="ar-SA"/>
    </w:rPr>
  </w:style>
  <w:style w:type="paragraph" w:styleId="Heading9">
    <w:name w:val="heading 9"/>
    <w:basedOn w:val="Normal"/>
    <w:next w:val="BodyText"/>
    <w:link w:val="Heading9Char"/>
    <w:uiPriority w:val="9"/>
    <w:unhideWhenUsed/>
    <w:qFormat/>
    <w:rsid w:val="005721F1"/>
    <w:pPr>
      <w:keepNext/>
      <w:keepLines/>
      <w:numPr>
        <w:ilvl w:val="8"/>
        <w:numId w:val="7"/>
      </w:numPr>
      <w:bidi w:val="0"/>
      <w:spacing w:before="200" w:after="0" w:line="240" w:lineRule="auto"/>
      <w:outlineLvl w:val="8"/>
    </w:pPr>
    <w:rPr>
      <w:rFonts w:asciiTheme="majorHAnsi" w:eastAsiaTheme="majorEastAsia" w:hAnsiTheme="majorHAnsi" w:cstheme="majorBidi"/>
      <w:color w:val="4F81BD" w:themeColor="accent1"/>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תו תו,טקסט הערות שוליים תו,תו,טקסט הערות שוליים תו2,טקסט הערות שוליים תו1 תו,טקסט הערות שוליים תו תו תו,טקסט הערות שוליים תו תו1,תו תו תו1,Footnote Text תו,תו תו תו תו,fn,fn Char,single space, תו תו, תו תו תו תו, תו תו תו1, תו,Footnote"/>
    <w:basedOn w:val="Normal"/>
    <w:link w:val="FootnoteTextChar"/>
    <w:uiPriority w:val="99"/>
    <w:unhideWhenUsed/>
    <w:qFormat/>
    <w:rsid w:val="00531BC6"/>
    <w:pPr>
      <w:spacing w:after="0" w:line="240" w:lineRule="auto"/>
    </w:pPr>
    <w:rPr>
      <w:sz w:val="20"/>
      <w:szCs w:val="20"/>
    </w:rPr>
  </w:style>
  <w:style w:type="character" w:customStyle="1" w:styleId="FootnoteTextChar">
    <w:name w:val="Footnote Text Char"/>
    <w:aliases w:val="תו תו Char,טקסט הערות שוליים תו Char,תו Char,טקסט הערות שוליים תו2 Char,טקסט הערות שוליים תו1 תו Char,טקסט הערות שוליים תו תו תו Char,טקסט הערות שוליים תו תו1 Char,תו תו תו1 Char,Footnote Text תו Char,תו תו תו תו Char,fn Char1"/>
    <w:basedOn w:val="DefaultParagraphFont"/>
    <w:link w:val="FootnoteText"/>
    <w:uiPriority w:val="99"/>
    <w:rsid w:val="00531BC6"/>
    <w:rPr>
      <w:sz w:val="20"/>
      <w:szCs w:val="20"/>
    </w:rPr>
  </w:style>
  <w:style w:type="character" w:styleId="FootnoteReference">
    <w:name w:val="footnote reference"/>
    <w:basedOn w:val="DefaultParagraphFont"/>
    <w:unhideWhenUsed/>
    <w:rsid w:val="00531BC6"/>
    <w:rPr>
      <w:vertAlign w:val="superscript"/>
    </w:rPr>
  </w:style>
  <w:style w:type="paragraph" w:styleId="ListParagraph">
    <w:name w:val="List Paragraph"/>
    <w:basedOn w:val="Normal"/>
    <w:uiPriority w:val="34"/>
    <w:qFormat/>
    <w:rsid w:val="00CE6B8A"/>
    <w:pPr>
      <w:ind w:left="720"/>
      <w:contextualSpacing/>
    </w:pPr>
  </w:style>
  <w:style w:type="paragraph" w:styleId="Header">
    <w:name w:val="header"/>
    <w:basedOn w:val="Normal"/>
    <w:link w:val="HeaderChar"/>
    <w:unhideWhenUsed/>
    <w:rsid w:val="00B00E18"/>
    <w:pPr>
      <w:tabs>
        <w:tab w:val="center" w:pos="4153"/>
        <w:tab w:val="right" w:pos="8306"/>
      </w:tabs>
      <w:spacing w:after="0" w:line="240" w:lineRule="auto"/>
    </w:pPr>
  </w:style>
  <w:style w:type="character" w:customStyle="1" w:styleId="HeaderChar">
    <w:name w:val="Header Char"/>
    <w:basedOn w:val="DefaultParagraphFont"/>
    <w:link w:val="Header"/>
    <w:rsid w:val="00B00E18"/>
  </w:style>
  <w:style w:type="paragraph" w:styleId="Footer">
    <w:name w:val="footer"/>
    <w:basedOn w:val="Normal"/>
    <w:link w:val="FooterChar"/>
    <w:uiPriority w:val="99"/>
    <w:unhideWhenUsed/>
    <w:rsid w:val="00B00E18"/>
    <w:pPr>
      <w:tabs>
        <w:tab w:val="center" w:pos="4153"/>
        <w:tab w:val="right" w:pos="8306"/>
      </w:tabs>
      <w:spacing w:after="0" w:line="240" w:lineRule="auto"/>
    </w:pPr>
  </w:style>
  <w:style w:type="character" w:customStyle="1" w:styleId="FooterChar">
    <w:name w:val="Footer Char"/>
    <w:basedOn w:val="DefaultParagraphFont"/>
    <w:link w:val="Footer"/>
    <w:uiPriority w:val="99"/>
    <w:rsid w:val="00B00E18"/>
  </w:style>
  <w:style w:type="character" w:customStyle="1" w:styleId="Heading1Char">
    <w:name w:val="Heading 1 Char"/>
    <w:basedOn w:val="DefaultParagraphFont"/>
    <w:link w:val="Heading1"/>
    <w:uiPriority w:val="9"/>
    <w:rsid w:val="005721F1"/>
    <w:rPr>
      <w:rFonts w:asciiTheme="majorHAnsi" w:eastAsiaTheme="majorEastAsia" w:hAnsiTheme="majorHAnsi" w:cstheme="majorBidi"/>
      <w:b/>
      <w:bCs/>
      <w:color w:val="4F81BD" w:themeColor="accent1"/>
      <w:sz w:val="32"/>
      <w:szCs w:val="32"/>
      <w:lang w:bidi="ar-SA"/>
    </w:rPr>
  </w:style>
  <w:style w:type="character" w:customStyle="1" w:styleId="Heading2Char">
    <w:name w:val="Heading 2 Char"/>
    <w:basedOn w:val="DefaultParagraphFont"/>
    <w:link w:val="Heading2"/>
    <w:uiPriority w:val="9"/>
    <w:rsid w:val="00426E3A"/>
    <w:rPr>
      <w:rFonts w:asciiTheme="majorHAnsi" w:eastAsiaTheme="majorEastAsia" w:hAnsiTheme="majorHAnsi" w:cstheme="majorBidi"/>
      <w:b/>
      <w:bCs/>
      <w:color w:val="4F81BD" w:themeColor="accent1"/>
      <w:sz w:val="28"/>
      <w:szCs w:val="28"/>
      <w:lang w:bidi="ar-SA"/>
    </w:rPr>
  </w:style>
  <w:style w:type="character" w:customStyle="1" w:styleId="Heading3Char">
    <w:name w:val="Heading 3 Char"/>
    <w:basedOn w:val="DefaultParagraphFont"/>
    <w:link w:val="Heading3"/>
    <w:uiPriority w:val="9"/>
    <w:rsid w:val="005721F1"/>
    <w:rPr>
      <w:rFonts w:asciiTheme="majorHAnsi" w:eastAsiaTheme="majorEastAsia" w:hAnsiTheme="majorHAnsi" w:cstheme="majorBidi"/>
      <w:b/>
      <w:bCs/>
      <w:color w:val="4F81BD" w:themeColor="accent1"/>
      <w:sz w:val="24"/>
      <w:szCs w:val="24"/>
      <w:lang w:bidi="ar-SA"/>
    </w:rPr>
  </w:style>
  <w:style w:type="character" w:customStyle="1" w:styleId="Heading4Char">
    <w:name w:val="Heading 4 Char"/>
    <w:basedOn w:val="DefaultParagraphFont"/>
    <w:link w:val="Heading4"/>
    <w:uiPriority w:val="9"/>
    <w:rsid w:val="005721F1"/>
    <w:rPr>
      <w:rFonts w:asciiTheme="majorHAnsi" w:eastAsiaTheme="majorEastAsia" w:hAnsiTheme="majorHAnsi" w:cstheme="majorBidi"/>
      <w:bCs/>
      <w:i/>
      <w:color w:val="4F81BD" w:themeColor="accent1"/>
      <w:sz w:val="24"/>
      <w:szCs w:val="24"/>
      <w:lang w:bidi="ar-SA"/>
    </w:rPr>
  </w:style>
  <w:style w:type="character" w:customStyle="1" w:styleId="Heading5Char">
    <w:name w:val="Heading 5 Char"/>
    <w:basedOn w:val="DefaultParagraphFont"/>
    <w:link w:val="Heading5"/>
    <w:uiPriority w:val="9"/>
    <w:rsid w:val="005721F1"/>
    <w:rPr>
      <w:rFonts w:asciiTheme="majorHAnsi" w:eastAsiaTheme="majorEastAsia" w:hAnsiTheme="majorHAnsi" w:cstheme="majorBidi"/>
      <w:iCs/>
      <w:color w:val="4F81BD" w:themeColor="accent1"/>
      <w:sz w:val="24"/>
      <w:szCs w:val="24"/>
      <w:lang w:bidi="ar-SA"/>
    </w:rPr>
  </w:style>
  <w:style w:type="character" w:customStyle="1" w:styleId="Heading6Char">
    <w:name w:val="Heading 6 Char"/>
    <w:basedOn w:val="DefaultParagraphFont"/>
    <w:link w:val="Heading6"/>
    <w:uiPriority w:val="9"/>
    <w:rsid w:val="005721F1"/>
    <w:rPr>
      <w:rFonts w:asciiTheme="majorHAnsi" w:eastAsiaTheme="majorEastAsia" w:hAnsiTheme="majorHAnsi" w:cstheme="majorBidi"/>
      <w:color w:val="4F81BD" w:themeColor="accent1"/>
      <w:sz w:val="24"/>
      <w:szCs w:val="24"/>
      <w:lang w:bidi="ar-SA"/>
    </w:rPr>
  </w:style>
  <w:style w:type="character" w:customStyle="1" w:styleId="Heading7Char">
    <w:name w:val="Heading 7 Char"/>
    <w:basedOn w:val="DefaultParagraphFont"/>
    <w:link w:val="Heading7"/>
    <w:uiPriority w:val="9"/>
    <w:rsid w:val="005721F1"/>
    <w:rPr>
      <w:rFonts w:asciiTheme="majorHAnsi" w:eastAsiaTheme="majorEastAsia" w:hAnsiTheme="majorHAnsi" w:cstheme="majorBidi"/>
      <w:color w:val="4F81BD" w:themeColor="accent1"/>
      <w:sz w:val="24"/>
      <w:szCs w:val="24"/>
      <w:lang w:bidi="ar-SA"/>
    </w:rPr>
  </w:style>
  <w:style w:type="character" w:customStyle="1" w:styleId="Heading8Char">
    <w:name w:val="Heading 8 Char"/>
    <w:basedOn w:val="DefaultParagraphFont"/>
    <w:link w:val="Heading8"/>
    <w:uiPriority w:val="9"/>
    <w:rsid w:val="005721F1"/>
    <w:rPr>
      <w:rFonts w:asciiTheme="majorHAnsi" w:eastAsiaTheme="majorEastAsia" w:hAnsiTheme="majorHAnsi" w:cstheme="majorBidi"/>
      <w:color w:val="4F81BD" w:themeColor="accent1"/>
      <w:sz w:val="24"/>
      <w:szCs w:val="24"/>
      <w:lang w:bidi="ar-SA"/>
    </w:rPr>
  </w:style>
  <w:style w:type="character" w:customStyle="1" w:styleId="Heading9Char">
    <w:name w:val="Heading 9 Char"/>
    <w:basedOn w:val="DefaultParagraphFont"/>
    <w:link w:val="Heading9"/>
    <w:uiPriority w:val="9"/>
    <w:rsid w:val="005721F1"/>
    <w:rPr>
      <w:rFonts w:asciiTheme="majorHAnsi" w:eastAsiaTheme="majorEastAsia" w:hAnsiTheme="majorHAnsi" w:cstheme="majorBidi"/>
      <w:color w:val="4F81BD" w:themeColor="accent1"/>
      <w:sz w:val="24"/>
      <w:szCs w:val="24"/>
      <w:lang w:bidi="ar-SA"/>
    </w:rPr>
  </w:style>
  <w:style w:type="paragraph" w:styleId="BodyText">
    <w:name w:val="Body Text"/>
    <w:basedOn w:val="Normal"/>
    <w:link w:val="BodyTextChar"/>
    <w:qFormat/>
    <w:rsid w:val="005349D7"/>
    <w:pPr>
      <w:bidi w:val="0"/>
      <w:spacing w:before="180" w:after="180"/>
      <w:jc w:val="both"/>
    </w:pPr>
    <w:rPr>
      <w:sz w:val="24"/>
      <w:szCs w:val="24"/>
      <w:lang w:bidi="ar-SA"/>
    </w:rPr>
  </w:style>
  <w:style w:type="character" w:customStyle="1" w:styleId="BodyTextChar">
    <w:name w:val="Body Text Char"/>
    <w:basedOn w:val="DefaultParagraphFont"/>
    <w:link w:val="BodyText"/>
    <w:rsid w:val="005349D7"/>
    <w:rPr>
      <w:sz w:val="24"/>
      <w:szCs w:val="24"/>
      <w:lang w:bidi="ar-SA"/>
    </w:rPr>
  </w:style>
  <w:style w:type="paragraph" w:customStyle="1" w:styleId="FirstParagraph">
    <w:name w:val="First Paragraph"/>
    <w:basedOn w:val="BodyText"/>
    <w:next w:val="BodyText"/>
    <w:qFormat/>
    <w:rsid w:val="005721F1"/>
  </w:style>
  <w:style w:type="paragraph" w:customStyle="1" w:styleId="Compact">
    <w:name w:val="Compact"/>
    <w:basedOn w:val="BodyText"/>
    <w:qFormat/>
    <w:rsid w:val="005721F1"/>
    <w:pPr>
      <w:spacing w:before="36" w:after="36"/>
    </w:pPr>
  </w:style>
  <w:style w:type="paragraph" w:styleId="Title">
    <w:name w:val="Title"/>
    <w:basedOn w:val="Normal"/>
    <w:next w:val="BodyText"/>
    <w:link w:val="TitleChar"/>
    <w:qFormat/>
    <w:rsid w:val="005721F1"/>
    <w:pPr>
      <w:keepNext/>
      <w:keepLines/>
      <w:bidi w:val="0"/>
      <w:spacing w:before="480" w:after="240" w:line="240" w:lineRule="auto"/>
      <w:jc w:val="center"/>
    </w:pPr>
    <w:rPr>
      <w:rFonts w:asciiTheme="majorHAnsi" w:eastAsiaTheme="majorEastAsia" w:hAnsiTheme="majorHAnsi" w:cstheme="majorBidi"/>
      <w:b/>
      <w:bCs/>
      <w:color w:val="345A8A" w:themeColor="accent1" w:themeShade="B5"/>
      <w:sz w:val="36"/>
      <w:szCs w:val="36"/>
      <w:lang w:bidi="ar-SA"/>
    </w:rPr>
  </w:style>
  <w:style w:type="character" w:customStyle="1" w:styleId="TitleChar">
    <w:name w:val="Title Char"/>
    <w:basedOn w:val="DefaultParagraphFont"/>
    <w:link w:val="Title"/>
    <w:rsid w:val="005721F1"/>
    <w:rPr>
      <w:rFonts w:asciiTheme="majorHAnsi" w:eastAsiaTheme="majorEastAsia" w:hAnsiTheme="majorHAnsi" w:cstheme="majorBidi"/>
      <w:b/>
      <w:bCs/>
      <w:color w:val="345A8A" w:themeColor="accent1" w:themeShade="B5"/>
      <w:sz w:val="36"/>
      <w:szCs w:val="36"/>
      <w:lang w:bidi="ar-SA"/>
    </w:rPr>
  </w:style>
  <w:style w:type="paragraph" w:styleId="Subtitle">
    <w:name w:val="Subtitle"/>
    <w:basedOn w:val="Title"/>
    <w:next w:val="BodyText"/>
    <w:link w:val="SubtitleChar"/>
    <w:qFormat/>
    <w:rsid w:val="005721F1"/>
    <w:pPr>
      <w:spacing w:before="240"/>
    </w:pPr>
    <w:rPr>
      <w:sz w:val="30"/>
      <w:szCs w:val="30"/>
    </w:rPr>
  </w:style>
  <w:style w:type="character" w:customStyle="1" w:styleId="SubtitleChar">
    <w:name w:val="Subtitle Char"/>
    <w:basedOn w:val="DefaultParagraphFont"/>
    <w:link w:val="Subtitle"/>
    <w:rsid w:val="005721F1"/>
    <w:rPr>
      <w:rFonts w:asciiTheme="majorHAnsi" w:eastAsiaTheme="majorEastAsia" w:hAnsiTheme="majorHAnsi" w:cstheme="majorBidi"/>
      <w:b/>
      <w:bCs/>
      <w:color w:val="345A8A" w:themeColor="accent1" w:themeShade="B5"/>
      <w:sz w:val="30"/>
      <w:szCs w:val="30"/>
      <w:lang w:bidi="ar-SA"/>
    </w:rPr>
  </w:style>
  <w:style w:type="paragraph" w:customStyle="1" w:styleId="Author">
    <w:name w:val="Author"/>
    <w:next w:val="BodyText"/>
    <w:qFormat/>
    <w:rsid w:val="005721F1"/>
    <w:pPr>
      <w:keepNext/>
      <w:keepLines/>
      <w:spacing w:line="240" w:lineRule="auto"/>
      <w:jc w:val="center"/>
    </w:pPr>
    <w:rPr>
      <w:sz w:val="24"/>
      <w:szCs w:val="24"/>
      <w:lang w:bidi="ar-SA"/>
    </w:rPr>
  </w:style>
  <w:style w:type="paragraph" w:styleId="Date">
    <w:name w:val="Date"/>
    <w:next w:val="BodyText"/>
    <w:link w:val="DateChar"/>
    <w:qFormat/>
    <w:rsid w:val="005721F1"/>
    <w:pPr>
      <w:keepNext/>
      <w:keepLines/>
      <w:spacing w:line="240" w:lineRule="auto"/>
      <w:jc w:val="center"/>
    </w:pPr>
    <w:rPr>
      <w:sz w:val="24"/>
      <w:szCs w:val="24"/>
      <w:lang w:bidi="ar-SA"/>
    </w:rPr>
  </w:style>
  <w:style w:type="character" w:customStyle="1" w:styleId="DateChar">
    <w:name w:val="Date Char"/>
    <w:basedOn w:val="DefaultParagraphFont"/>
    <w:link w:val="Date"/>
    <w:rsid w:val="005721F1"/>
    <w:rPr>
      <w:sz w:val="24"/>
      <w:szCs w:val="24"/>
      <w:lang w:bidi="ar-SA"/>
    </w:rPr>
  </w:style>
  <w:style w:type="paragraph" w:customStyle="1" w:styleId="Abstract">
    <w:name w:val="Abstract"/>
    <w:basedOn w:val="Normal"/>
    <w:next w:val="BodyText"/>
    <w:qFormat/>
    <w:rsid w:val="005721F1"/>
    <w:pPr>
      <w:keepNext/>
      <w:keepLines/>
      <w:bidi w:val="0"/>
      <w:spacing w:before="300" w:after="300" w:line="240" w:lineRule="auto"/>
    </w:pPr>
    <w:rPr>
      <w:sz w:val="20"/>
      <w:szCs w:val="20"/>
      <w:lang w:bidi="ar-SA"/>
    </w:rPr>
  </w:style>
  <w:style w:type="paragraph" w:styleId="Bibliography">
    <w:name w:val="Bibliography"/>
    <w:basedOn w:val="Normal"/>
    <w:qFormat/>
    <w:rsid w:val="008343A1"/>
    <w:pPr>
      <w:bidi w:val="0"/>
      <w:spacing w:after="0" w:line="240" w:lineRule="auto"/>
      <w:ind w:left="720" w:hanging="720"/>
      <w:jc w:val="both"/>
    </w:pPr>
    <w:rPr>
      <w:sz w:val="24"/>
      <w:szCs w:val="24"/>
      <w:lang w:bidi="ar-SA"/>
    </w:rPr>
  </w:style>
  <w:style w:type="paragraph" w:styleId="BlockText">
    <w:name w:val="Block Text"/>
    <w:basedOn w:val="BodyText"/>
    <w:next w:val="BodyText"/>
    <w:uiPriority w:val="9"/>
    <w:unhideWhenUsed/>
    <w:qFormat/>
    <w:rsid w:val="005721F1"/>
    <w:pPr>
      <w:spacing w:before="100" w:after="100"/>
      <w:ind w:left="480" w:right="480"/>
    </w:pPr>
  </w:style>
  <w:style w:type="table" w:customStyle="1" w:styleId="Table">
    <w:name w:val="Table"/>
    <w:semiHidden/>
    <w:unhideWhenUsed/>
    <w:qFormat/>
    <w:rsid w:val="005721F1"/>
    <w:pPr>
      <w:spacing w:line="240" w:lineRule="auto"/>
    </w:pPr>
    <w:rPr>
      <w:sz w:val="24"/>
      <w:szCs w:val="24"/>
      <w:lang w:val="" w:eastAsia="" w:bidi="ar-S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721F1"/>
    <w:pPr>
      <w:keepNext/>
      <w:keepLines/>
      <w:bidi w:val="0"/>
      <w:spacing w:after="0" w:line="240" w:lineRule="auto"/>
    </w:pPr>
    <w:rPr>
      <w:b/>
      <w:sz w:val="24"/>
      <w:szCs w:val="24"/>
      <w:lang w:bidi="ar-SA"/>
    </w:rPr>
  </w:style>
  <w:style w:type="paragraph" w:customStyle="1" w:styleId="Definition">
    <w:name w:val="Definition"/>
    <w:basedOn w:val="Normal"/>
    <w:rsid w:val="005721F1"/>
    <w:pPr>
      <w:bidi w:val="0"/>
      <w:spacing w:line="240" w:lineRule="auto"/>
    </w:pPr>
    <w:rPr>
      <w:sz w:val="24"/>
      <w:szCs w:val="24"/>
      <w:lang w:bidi="ar-SA"/>
    </w:rPr>
  </w:style>
  <w:style w:type="paragraph" w:styleId="Caption">
    <w:name w:val="caption"/>
    <w:basedOn w:val="Normal"/>
    <w:link w:val="CaptionChar"/>
    <w:qFormat/>
    <w:rsid w:val="00441EC7"/>
    <w:pPr>
      <w:bidi w:val="0"/>
      <w:spacing w:after="120" w:line="240" w:lineRule="auto"/>
      <w:jc w:val="center"/>
    </w:pPr>
    <w:rPr>
      <w:rFonts w:cs="Utopia"/>
      <w:i/>
      <w:sz w:val="24"/>
      <w:szCs w:val="20"/>
      <w:lang w:bidi="ar-SA"/>
    </w:rPr>
  </w:style>
  <w:style w:type="paragraph" w:customStyle="1" w:styleId="TableCaption">
    <w:name w:val="Table Caption"/>
    <w:basedOn w:val="Caption"/>
    <w:rsid w:val="005721F1"/>
    <w:pPr>
      <w:keepNext/>
    </w:pPr>
  </w:style>
  <w:style w:type="paragraph" w:customStyle="1" w:styleId="ImageCaption">
    <w:name w:val="Image Caption"/>
    <w:basedOn w:val="Caption"/>
    <w:rsid w:val="005721F1"/>
  </w:style>
  <w:style w:type="paragraph" w:customStyle="1" w:styleId="Figure">
    <w:name w:val="Figure"/>
    <w:basedOn w:val="Normal"/>
    <w:rsid w:val="005721F1"/>
    <w:pPr>
      <w:bidi w:val="0"/>
      <w:spacing w:line="240" w:lineRule="auto"/>
    </w:pPr>
    <w:rPr>
      <w:sz w:val="24"/>
      <w:szCs w:val="24"/>
      <w:lang w:bidi="ar-SA"/>
    </w:rPr>
  </w:style>
  <w:style w:type="paragraph" w:customStyle="1" w:styleId="CaptionedFigure">
    <w:name w:val="Captioned Figure"/>
    <w:basedOn w:val="Figure"/>
    <w:rsid w:val="005721F1"/>
    <w:pPr>
      <w:keepNext/>
    </w:pPr>
  </w:style>
  <w:style w:type="character" w:customStyle="1" w:styleId="CaptionChar">
    <w:name w:val="Caption Char"/>
    <w:basedOn w:val="DefaultParagraphFont"/>
    <w:link w:val="Caption"/>
    <w:rsid w:val="005721F1"/>
    <w:rPr>
      <w:rFonts w:cs="Utopia"/>
      <w:i/>
      <w:sz w:val="24"/>
      <w:szCs w:val="20"/>
      <w:lang w:bidi="ar-SA"/>
    </w:rPr>
  </w:style>
  <w:style w:type="character" w:customStyle="1" w:styleId="VerbatimChar">
    <w:name w:val="Verbatim Char"/>
    <w:basedOn w:val="CaptionChar"/>
    <w:link w:val="SourceCode"/>
    <w:rsid w:val="005721F1"/>
    <w:rPr>
      <w:rFonts w:ascii="Consolas" w:hAnsi="Consolas" w:cs="Utopia"/>
      <w:i/>
      <w:sz w:val="24"/>
      <w:szCs w:val="24"/>
      <w:lang w:bidi="ar-SA"/>
    </w:rPr>
  </w:style>
  <w:style w:type="character" w:customStyle="1" w:styleId="SectionNumber">
    <w:name w:val="Section Number"/>
    <w:basedOn w:val="CaptionChar"/>
    <w:rsid w:val="005721F1"/>
    <w:rPr>
      <w:rFonts w:cs="Utopia"/>
      <w:i/>
      <w:sz w:val="24"/>
      <w:szCs w:val="24"/>
      <w:lang w:bidi="ar-SA"/>
    </w:rPr>
  </w:style>
  <w:style w:type="character" w:styleId="Hyperlink">
    <w:name w:val="Hyperlink"/>
    <w:basedOn w:val="CaptionChar"/>
    <w:qFormat/>
    <w:rsid w:val="005721F1"/>
    <w:rPr>
      <w:rFonts w:cs="Utopia"/>
      <w:i/>
      <w:color w:val="4F81BD" w:themeColor="accent1"/>
      <w:sz w:val="24"/>
      <w:szCs w:val="24"/>
      <w:lang w:bidi="ar-SA"/>
    </w:rPr>
  </w:style>
  <w:style w:type="paragraph" w:styleId="TOCHeading">
    <w:name w:val="TOC Heading"/>
    <w:basedOn w:val="Heading1"/>
    <w:next w:val="BodyText"/>
    <w:uiPriority w:val="39"/>
    <w:unhideWhenUsed/>
    <w:qFormat/>
    <w:rsid w:val="005721F1"/>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5721F1"/>
    <w:pPr>
      <w:wordWrap w:val="0"/>
      <w:bidi w:val="0"/>
      <w:spacing w:line="240" w:lineRule="auto"/>
    </w:pPr>
    <w:rPr>
      <w:rFonts w:ascii="Consolas" w:hAnsi="Consolas"/>
      <w:i/>
      <w:szCs w:val="24"/>
      <w:lang w:bidi="ar-SA"/>
    </w:rPr>
  </w:style>
  <w:style w:type="character" w:customStyle="1" w:styleId="KeywordTok">
    <w:name w:val="KeywordTok"/>
    <w:basedOn w:val="VerbatimChar"/>
    <w:rsid w:val="005721F1"/>
    <w:rPr>
      <w:rFonts w:ascii="Consolas" w:hAnsi="Consolas" w:cs="Utopia"/>
      <w:b/>
      <w:i/>
      <w:color w:val="007020"/>
      <w:sz w:val="24"/>
      <w:szCs w:val="24"/>
      <w:lang w:bidi="ar-SA"/>
    </w:rPr>
  </w:style>
  <w:style w:type="character" w:customStyle="1" w:styleId="DataTypeTok">
    <w:name w:val="DataTypeTok"/>
    <w:basedOn w:val="VerbatimChar"/>
    <w:rsid w:val="005721F1"/>
    <w:rPr>
      <w:rFonts w:ascii="Consolas" w:hAnsi="Consolas" w:cs="Utopia"/>
      <w:i/>
      <w:color w:val="902000"/>
      <w:sz w:val="24"/>
      <w:szCs w:val="24"/>
      <w:lang w:bidi="ar-SA"/>
    </w:rPr>
  </w:style>
  <w:style w:type="character" w:customStyle="1" w:styleId="DecValTok">
    <w:name w:val="DecValTok"/>
    <w:basedOn w:val="VerbatimChar"/>
    <w:rsid w:val="005721F1"/>
    <w:rPr>
      <w:rFonts w:ascii="Consolas" w:hAnsi="Consolas" w:cs="Utopia"/>
      <w:i/>
      <w:color w:val="40A070"/>
      <w:sz w:val="24"/>
      <w:szCs w:val="24"/>
      <w:lang w:bidi="ar-SA"/>
    </w:rPr>
  </w:style>
  <w:style w:type="character" w:customStyle="1" w:styleId="BaseNTok">
    <w:name w:val="BaseNTok"/>
    <w:basedOn w:val="VerbatimChar"/>
    <w:rsid w:val="005721F1"/>
    <w:rPr>
      <w:rFonts w:ascii="Consolas" w:hAnsi="Consolas" w:cs="Utopia"/>
      <w:i/>
      <w:color w:val="40A070"/>
      <w:sz w:val="24"/>
      <w:szCs w:val="24"/>
      <w:lang w:bidi="ar-SA"/>
    </w:rPr>
  </w:style>
  <w:style w:type="character" w:customStyle="1" w:styleId="FloatTok">
    <w:name w:val="FloatTok"/>
    <w:basedOn w:val="VerbatimChar"/>
    <w:rsid w:val="005721F1"/>
    <w:rPr>
      <w:rFonts w:ascii="Consolas" w:hAnsi="Consolas" w:cs="Utopia"/>
      <w:i/>
      <w:color w:val="40A070"/>
      <w:sz w:val="24"/>
      <w:szCs w:val="24"/>
      <w:lang w:bidi="ar-SA"/>
    </w:rPr>
  </w:style>
  <w:style w:type="character" w:customStyle="1" w:styleId="ConstantTok">
    <w:name w:val="ConstantTok"/>
    <w:basedOn w:val="VerbatimChar"/>
    <w:rsid w:val="005721F1"/>
    <w:rPr>
      <w:rFonts w:ascii="Consolas" w:hAnsi="Consolas" w:cs="Utopia"/>
      <w:i/>
      <w:color w:val="880000"/>
      <w:sz w:val="24"/>
      <w:szCs w:val="24"/>
      <w:lang w:bidi="ar-SA"/>
    </w:rPr>
  </w:style>
  <w:style w:type="character" w:customStyle="1" w:styleId="CharTok">
    <w:name w:val="CharTok"/>
    <w:basedOn w:val="VerbatimChar"/>
    <w:rsid w:val="005721F1"/>
    <w:rPr>
      <w:rFonts w:ascii="Consolas" w:hAnsi="Consolas" w:cs="Utopia"/>
      <w:i/>
      <w:color w:val="4070A0"/>
      <w:sz w:val="24"/>
      <w:szCs w:val="24"/>
      <w:lang w:bidi="ar-SA"/>
    </w:rPr>
  </w:style>
  <w:style w:type="character" w:customStyle="1" w:styleId="SpecialCharTok">
    <w:name w:val="SpecialCharTok"/>
    <w:basedOn w:val="VerbatimChar"/>
    <w:rsid w:val="005721F1"/>
    <w:rPr>
      <w:rFonts w:ascii="Consolas" w:hAnsi="Consolas" w:cs="Utopia"/>
      <w:i/>
      <w:color w:val="4070A0"/>
      <w:sz w:val="24"/>
      <w:szCs w:val="24"/>
      <w:lang w:bidi="ar-SA"/>
    </w:rPr>
  </w:style>
  <w:style w:type="character" w:customStyle="1" w:styleId="StringTok">
    <w:name w:val="StringTok"/>
    <w:basedOn w:val="VerbatimChar"/>
    <w:rsid w:val="005721F1"/>
    <w:rPr>
      <w:rFonts w:ascii="Consolas" w:hAnsi="Consolas" w:cs="Utopia"/>
      <w:i/>
      <w:color w:val="4070A0"/>
      <w:sz w:val="24"/>
      <w:szCs w:val="24"/>
      <w:lang w:bidi="ar-SA"/>
    </w:rPr>
  </w:style>
  <w:style w:type="character" w:customStyle="1" w:styleId="VerbatimStringTok">
    <w:name w:val="VerbatimStringTok"/>
    <w:basedOn w:val="VerbatimChar"/>
    <w:rsid w:val="005721F1"/>
    <w:rPr>
      <w:rFonts w:ascii="Consolas" w:hAnsi="Consolas" w:cs="Utopia"/>
      <w:i/>
      <w:color w:val="4070A0"/>
      <w:sz w:val="24"/>
      <w:szCs w:val="24"/>
      <w:lang w:bidi="ar-SA"/>
    </w:rPr>
  </w:style>
  <w:style w:type="character" w:customStyle="1" w:styleId="SpecialStringTok">
    <w:name w:val="SpecialStringTok"/>
    <w:basedOn w:val="VerbatimChar"/>
    <w:rsid w:val="005721F1"/>
    <w:rPr>
      <w:rFonts w:ascii="Consolas" w:hAnsi="Consolas" w:cs="Utopia"/>
      <w:i/>
      <w:color w:val="BB6688"/>
      <w:sz w:val="24"/>
      <w:szCs w:val="24"/>
      <w:lang w:bidi="ar-SA"/>
    </w:rPr>
  </w:style>
  <w:style w:type="character" w:customStyle="1" w:styleId="ImportTok">
    <w:name w:val="ImportTok"/>
    <w:basedOn w:val="VerbatimChar"/>
    <w:rsid w:val="005721F1"/>
    <w:rPr>
      <w:rFonts w:ascii="Consolas" w:hAnsi="Consolas" w:cs="Utopia"/>
      <w:b/>
      <w:i/>
      <w:color w:val="008000"/>
      <w:sz w:val="24"/>
      <w:szCs w:val="24"/>
      <w:lang w:bidi="ar-SA"/>
    </w:rPr>
  </w:style>
  <w:style w:type="character" w:customStyle="1" w:styleId="CommentTok">
    <w:name w:val="CommentTok"/>
    <w:basedOn w:val="VerbatimChar"/>
    <w:rsid w:val="005721F1"/>
    <w:rPr>
      <w:rFonts w:ascii="Consolas" w:hAnsi="Consolas" w:cs="Utopia"/>
      <w:i w:val="0"/>
      <w:color w:val="60A0B0"/>
      <w:sz w:val="24"/>
      <w:szCs w:val="24"/>
      <w:lang w:bidi="ar-SA"/>
    </w:rPr>
  </w:style>
  <w:style w:type="character" w:customStyle="1" w:styleId="DocumentationTok">
    <w:name w:val="DocumentationTok"/>
    <w:basedOn w:val="VerbatimChar"/>
    <w:rsid w:val="005721F1"/>
    <w:rPr>
      <w:rFonts w:ascii="Consolas" w:hAnsi="Consolas" w:cs="Utopia"/>
      <w:i w:val="0"/>
      <w:color w:val="BA2121"/>
      <w:sz w:val="24"/>
      <w:szCs w:val="24"/>
      <w:lang w:bidi="ar-SA"/>
    </w:rPr>
  </w:style>
  <w:style w:type="character" w:customStyle="1" w:styleId="AnnotationTok">
    <w:name w:val="AnnotationTok"/>
    <w:basedOn w:val="VerbatimChar"/>
    <w:rsid w:val="005721F1"/>
    <w:rPr>
      <w:rFonts w:ascii="Consolas" w:hAnsi="Consolas" w:cs="Utopia"/>
      <w:b/>
      <w:i w:val="0"/>
      <w:color w:val="60A0B0"/>
      <w:sz w:val="24"/>
      <w:szCs w:val="24"/>
      <w:lang w:bidi="ar-SA"/>
    </w:rPr>
  </w:style>
  <w:style w:type="character" w:customStyle="1" w:styleId="CommentVarTok">
    <w:name w:val="CommentVarTok"/>
    <w:basedOn w:val="VerbatimChar"/>
    <w:rsid w:val="005721F1"/>
    <w:rPr>
      <w:rFonts w:ascii="Consolas" w:hAnsi="Consolas" w:cs="Utopia"/>
      <w:b/>
      <w:i w:val="0"/>
      <w:color w:val="60A0B0"/>
      <w:sz w:val="24"/>
      <w:szCs w:val="24"/>
      <w:lang w:bidi="ar-SA"/>
    </w:rPr>
  </w:style>
  <w:style w:type="character" w:customStyle="1" w:styleId="OtherTok">
    <w:name w:val="OtherTok"/>
    <w:basedOn w:val="VerbatimChar"/>
    <w:rsid w:val="005721F1"/>
    <w:rPr>
      <w:rFonts w:ascii="Consolas" w:hAnsi="Consolas" w:cs="Utopia"/>
      <w:i/>
      <w:color w:val="007020"/>
      <w:sz w:val="24"/>
      <w:szCs w:val="24"/>
      <w:lang w:bidi="ar-SA"/>
    </w:rPr>
  </w:style>
  <w:style w:type="character" w:customStyle="1" w:styleId="FunctionTok">
    <w:name w:val="FunctionTok"/>
    <w:basedOn w:val="VerbatimChar"/>
    <w:rsid w:val="005721F1"/>
    <w:rPr>
      <w:rFonts w:ascii="Consolas" w:hAnsi="Consolas" w:cs="Utopia"/>
      <w:i/>
      <w:color w:val="06287E"/>
      <w:sz w:val="24"/>
      <w:szCs w:val="24"/>
      <w:lang w:bidi="ar-SA"/>
    </w:rPr>
  </w:style>
  <w:style w:type="character" w:customStyle="1" w:styleId="VariableTok">
    <w:name w:val="VariableTok"/>
    <w:basedOn w:val="VerbatimChar"/>
    <w:rsid w:val="005721F1"/>
    <w:rPr>
      <w:rFonts w:ascii="Consolas" w:hAnsi="Consolas" w:cs="Utopia"/>
      <w:i/>
      <w:color w:val="19177C"/>
      <w:sz w:val="24"/>
      <w:szCs w:val="24"/>
      <w:lang w:bidi="ar-SA"/>
    </w:rPr>
  </w:style>
  <w:style w:type="character" w:customStyle="1" w:styleId="ControlFlowTok">
    <w:name w:val="ControlFlowTok"/>
    <w:basedOn w:val="VerbatimChar"/>
    <w:rsid w:val="005721F1"/>
    <w:rPr>
      <w:rFonts w:ascii="Consolas" w:hAnsi="Consolas" w:cs="Utopia"/>
      <w:b/>
      <w:i/>
      <w:color w:val="007020"/>
      <w:sz w:val="24"/>
      <w:szCs w:val="24"/>
      <w:lang w:bidi="ar-SA"/>
    </w:rPr>
  </w:style>
  <w:style w:type="character" w:customStyle="1" w:styleId="OperatorTok">
    <w:name w:val="OperatorTok"/>
    <w:basedOn w:val="VerbatimChar"/>
    <w:rsid w:val="005721F1"/>
    <w:rPr>
      <w:rFonts w:ascii="Consolas" w:hAnsi="Consolas" w:cs="Utopia"/>
      <w:i/>
      <w:color w:val="666666"/>
      <w:sz w:val="24"/>
      <w:szCs w:val="24"/>
      <w:lang w:bidi="ar-SA"/>
    </w:rPr>
  </w:style>
  <w:style w:type="character" w:customStyle="1" w:styleId="BuiltInTok">
    <w:name w:val="BuiltInTok"/>
    <w:basedOn w:val="VerbatimChar"/>
    <w:rsid w:val="005721F1"/>
    <w:rPr>
      <w:rFonts w:ascii="Consolas" w:hAnsi="Consolas" w:cs="Utopia"/>
      <w:i/>
      <w:color w:val="008000"/>
      <w:sz w:val="24"/>
      <w:szCs w:val="24"/>
      <w:lang w:bidi="ar-SA"/>
    </w:rPr>
  </w:style>
  <w:style w:type="character" w:customStyle="1" w:styleId="ExtensionTok">
    <w:name w:val="ExtensionTok"/>
    <w:basedOn w:val="VerbatimChar"/>
    <w:rsid w:val="005721F1"/>
    <w:rPr>
      <w:rFonts w:ascii="Consolas" w:hAnsi="Consolas" w:cs="Utopia"/>
      <w:i/>
      <w:sz w:val="24"/>
      <w:szCs w:val="24"/>
      <w:lang w:bidi="ar-SA"/>
    </w:rPr>
  </w:style>
  <w:style w:type="character" w:customStyle="1" w:styleId="PreprocessorTok">
    <w:name w:val="PreprocessorTok"/>
    <w:basedOn w:val="VerbatimChar"/>
    <w:rsid w:val="005721F1"/>
    <w:rPr>
      <w:rFonts w:ascii="Consolas" w:hAnsi="Consolas" w:cs="Utopia"/>
      <w:i/>
      <w:color w:val="BC7A00"/>
      <w:sz w:val="24"/>
      <w:szCs w:val="24"/>
      <w:lang w:bidi="ar-SA"/>
    </w:rPr>
  </w:style>
  <w:style w:type="character" w:customStyle="1" w:styleId="AttributeTok">
    <w:name w:val="AttributeTok"/>
    <w:basedOn w:val="VerbatimChar"/>
    <w:rsid w:val="005721F1"/>
    <w:rPr>
      <w:rFonts w:ascii="Consolas" w:hAnsi="Consolas" w:cs="Utopia"/>
      <w:i/>
      <w:color w:val="7D9029"/>
      <w:sz w:val="24"/>
      <w:szCs w:val="24"/>
      <w:lang w:bidi="ar-SA"/>
    </w:rPr>
  </w:style>
  <w:style w:type="character" w:customStyle="1" w:styleId="RegionMarkerTok">
    <w:name w:val="RegionMarkerTok"/>
    <w:basedOn w:val="VerbatimChar"/>
    <w:rsid w:val="005721F1"/>
    <w:rPr>
      <w:rFonts w:ascii="Consolas" w:hAnsi="Consolas" w:cs="Utopia"/>
      <w:i/>
      <w:sz w:val="24"/>
      <w:szCs w:val="24"/>
      <w:lang w:bidi="ar-SA"/>
    </w:rPr>
  </w:style>
  <w:style w:type="character" w:customStyle="1" w:styleId="InformationTok">
    <w:name w:val="InformationTok"/>
    <w:basedOn w:val="VerbatimChar"/>
    <w:rsid w:val="005721F1"/>
    <w:rPr>
      <w:rFonts w:ascii="Consolas" w:hAnsi="Consolas" w:cs="Utopia"/>
      <w:b/>
      <w:i w:val="0"/>
      <w:color w:val="60A0B0"/>
      <w:sz w:val="24"/>
      <w:szCs w:val="24"/>
      <w:lang w:bidi="ar-SA"/>
    </w:rPr>
  </w:style>
  <w:style w:type="character" w:customStyle="1" w:styleId="WarningTok">
    <w:name w:val="WarningTok"/>
    <w:basedOn w:val="VerbatimChar"/>
    <w:rsid w:val="005721F1"/>
    <w:rPr>
      <w:rFonts w:ascii="Consolas" w:hAnsi="Consolas" w:cs="Utopia"/>
      <w:b/>
      <w:i w:val="0"/>
      <w:color w:val="60A0B0"/>
      <w:sz w:val="24"/>
      <w:szCs w:val="24"/>
      <w:lang w:bidi="ar-SA"/>
    </w:rPr>
  </w:style>
  <w:style w:type="character" w:customStyle="1" w:styleId="AlertTok">
    <w:name w:val="AlertTok"/>
    <w:basedOn w:val="VerbatimChar"/>
    <w:rsid w:val="005721F1"/>
    <w:rPr>
      <w:rFonts w:ascii="Consolas" w:hAnsi="Consolas" w:cs="Utopia"/>
      <w:b/>
      <w:i/>
      <w:color w:val="FF0000"/>
      <w:sz w:val="24"/>
      <w:szCs w:val="24"/>
      <w:lang w:bidi="ar-SA"/>
    </w:rPr>
  </w:style>
  <w:style w:type="character" w:customStyle="1" w:styleId="ErrorTok">
    <w:name w:val="ErrorTok"/>
    <w:basedOn w:val="VerbatimChar"/>
    <w:rsid w:val="005721F1"/>
    <w:rPr>
      <w:rFonts w:ascii="Consolas" w:hAnsi="Consolas" w:cs="Utopia"/>
      <w:b/>
      <w:i/>
      <w:color w:val="FF0000"/>
      <w:sz w:val="24"/>
      <w:szCs w:val="24"/>
      <w:lang w:bidi="ar-SA"/>
    </w:rPr>
  </w:style>
  <w:style w:type="character" w:customStyle="1" w:styleId="NormalTok">
    <w:name w:val="NormalTok"/>
    <w:basedOn w:val="VerbatimChar"/>
    <w:qFormat/>
    <w:rsid w:val="005721F1"/>
    <w:rPr>
      <w:rFonts w:ascii="Consolas" w:hAnsi="Consolas" w:cs="Utopia"/>
      <w:i/>
      <w:sz w:val="24"/>
      <w:szCs w:val="24"/>
      <w:lang w:bidi="ar-SA"/>
    </w:rPr>
  </w:style>
  <w:style w:type="character" w:styleId="FollowedHyperlink">
    <w:name w:val="FollowedHyperlink"/>
    <w:basedOn w:val="DefaultParagraphFont"/>
    <w:semiHidden/>
    <w:unhideWhenUsed/>
    <w:rsid w:val="005721F1"/>
    <w:rPr>
      <w:color w:val="800080" w:themeColor="followedHyperlink"/>
      <w:u w:val="single"/>
    </w:rPr>
  </w:style>
  <w:style w:type="character" w:styleId="PlaceholderText">
    <w:name w:val="Placeholder Text"/>
    <w:basedOn w:val="DefaultParagraphFont"/>
    <w:semiHidden/>
    <w:rsid w:val="005721F1"/>
    <w:rPr>
      <w:color w:val="808080"/>
    </w:rPr>
  </w:style>
  <w:style w:type="character" w:customStyle="1" w:styleId="1">
    <w:name w:val="אזכור לא מזוהה1"/>
    <w:basedOn w:val="DefaultParagraphFont"/>
    <w:uiPriority w:val="99"/>
    <w:semiHidden/>
    <w:unhideWhenUsed/>
    <w:rsid w:val="005721F1"/>
    <w:rPr>
      <w:color w:val="605E5C"/>
      <w:shd w:val="clear" w:color="auto" w:fill="E1DFDD"/>
    </w:rPr>
  </w:style>
  <w:style w:type="character" w:styleId="Strong">
    <w:name w:val="Strong"/>
    <w:basedOn w:val="DefaultParagraphFont"/>
    <w:uiPriority w:val="22"/>
    <w:qFormat/>
    <w:rsid w:val="005721F1"/>
    <w:rPr>
      <w:b/>
      <w:bCs/>
    </w:rPr>
  </w:style>
  <w:style w:type="paragraph" w:styleId="ListBullet">
    <w:name w:val="List Bullet"/>
    <w:basedOn w:val="Normal"/>
    <w:unhideWhenUsed/>
    <w:qFormat/>
    <w:rsid w:val="005721F1"/>
    <w:pPr>
      <w:numPr>
        <w:numId w:val="1"/>
      </w:numPr>
      <w:bidi w:val="0"/>
      <w:spacing w:line="240" w:lineRule="auto"/>
      <w:contextualSpacing/>
    </w:pPr>
    <w:rPr>
      <w:sz w:val="24"/>
      <w:szCs w:val="24"/>
      <w:lang w:bidi="ar-SA"/>
    </w:rPr>
  </w:style>
  <w:style w:type="paragraph" w:styleId="ListNumber2">
    <w:name w:val="List Number 2"/>
    <w:basedOn w:val="Normal"/>
    <w:unhideWhenUsed/>
    <w:rsid w:val="005721F1"/>
    <w:pPr>
      <w:numPr>
        <w:numId w:val="5"/>
      </w:numPr>
      <w:bidi w:val="0"/>
      <w:spacing w:line="240" w:lineRule="auto"/>
      <w:contextualSpacing/>
    </w:pPr>
    <w:rPr>
      <w:sz w:val="24"/>
      <w:szCs w:val="24"/>
      <w:lang w:bidi="ar-SA"/>
    </w:rPr>
  </w:style>
  <w:style w:type="paragraph" w:styleId="ListBullet2">
    <w:name w:val="List Bullet 2"/>
    <w:basedOn w:val="Normal"/>
    <w:unhideWhenUsed/>
    <w:qFormat/>
    <w:rsid w:val="005721F1"/>
    <w:pPr>
      <w:numPr>
        <w:numId w:val="2"/>
      </w:numPr>
      <w:bidi w:val="0"/>
      <w:spacing w:line="240" w:lineRule="auto"/>
      <w:contextualSpacing/>
    </w:pPr>
    <w:rPr>
      <w:sz w:val="24"/>
      <w:szCs w:val="24"/>
      <w:lang w:bidi="ar-SA"/>
    </w:rPr>
  </w:style>
  <w:style w:type="paragraph" w:styleId="ListBullet3">
    <w:name w:val="List Bullet 3"/>
    <w:basedOn w:val="Normal"/>
    <w:unhideWhenUsed/>
    <w:rsid w:val="005721F1"/>
    <w:pPr>
      <w:numPr>
        <w:numId w:val="3"/>
      </w:numPr>
      <w:bidi w:val="0"/>
      <w:spacing w:line="240" w:lineRule="auto"/>
      <w:contextualSpacing/>
    </w:pPr>
    <w:rPr>
      <w:sz w:val="24"/>
      <w:szCs w:val="24"/>
      <w:lang w:bidi="ar-SA"/>
    </w:rPr>
  </w:style>
  <w:style w:type="paragraph" w:styleId="ListNumber">
    <w:name w:val="List Number"/>
    <w:basedOn w:val="Normal"/>
    <w:unhideWhenUsed/>
    <w:qFormat/>
    <w:rsid w:val="005721F1"/>
    <w:pPr>
      <w:numPr>
        <w:numId w:val="4"/>
      </w:numPr>
      <w:bidi w:val="0"/>
      <w:spacing w:line="240" w:lineRule="auto"/>
      <w:contextualSpacing/>
    </w:pPr>
    <w:rPr>
      <w:sz w:val="24"/>
      <w:szCs w:val="24"/>
      <w:lang w:bidi="ar-SA"/>
    </w:rPr>
  </w:style>
  <w:style w:type="paragraph" w:styleId="ListNumber3">
    <w:name w:val="List Number 3"/>
    <w:basedOn w:val="Normal"/>
    <w:unhideWhenUsed/>
    <w:rsid w:val="005721F1"/>
    <w:pPr>
      <w:numPr>
        <w:numId w:val="6"/>
      </w:numPr>
      <w:bidi w:val="0"/>
      <w:spacing w:line="240" w:lineRule="auto"/>
      <w:contextualSpacing/>
    </w:pPr>
    <w:rPr>
      <w:sz w:val="24"/>
      <w:szCs w:val="24"/>
      <w:lang w:bidi="ar-SA"/>
    </w:rPr>
  </w:style>
  <w:style w:type="paragraph" w:styleId="ListContinue">
    <w:name w:val="List Continue"/>
    <w:basedOn w:val="Normal"/>
    <w:unhideWhenUsed/>
    <w:rsid w:val="005721F1"/>
    <w:pPr>
      <w:bidi w:val="0"/>
      <w:spacing w:after="120" w:line="240" w:lineRule="auto"/>
      <w:ind w:left="283"/>
      <w:contextualSpacing/>
    </w:pPr>
    <w:rPr>
      <w:sz w:val="24"/>
      <w:szCs w:val="24"/>
      <w:lang w:bidi="ar-SA"/>
    </w:rPr>
  </w:style>
  <w:style w:type="paragraph" w:customStyle="1" w:styleId="q-text">
    <w:name w:val="q-text"/>
    <w:basedOn w:val="Normal"/>
    <w:rsid w:val="005721F1"/>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box">
    <w:name w:val="q-box"/>
    <w:basedOn w:val="DefaultParagraphFont"/>
    <w:rsid w:val="005721F1"/>
  </w:style>
  <w:style w:type="paragraph" w:styleId="HTMLPreformatted">
    <w:name w:val="HTML Preformatted"/>
    <w:basedOn w:val="Normal"/>
    <w:link w:val="HTMLPreformattedChar"/>
    <w:uiPriority w:val="99"/>
    <w:semiHidden/>
    <w:unhideWhenUsed/>
    <w:rsid w:val="00572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21F1"/>
    <w:rPr>
      <w:rFonts w:ascii="Courier New" w:eastAsia="Times New Roman" w:hAnsi="Courier New" w:cs="Courier New"/>
      <w:sz w:val="20"/>
      <w:szCs w:val="20"/>
    </w:rPr>
  </w:style>
  <w:style w:type="character" w:styleId="HTMLCode">
    <w:name w:val="HTML Code"/>
    <w:basedOn w:val="DefaultParagraphFont"/>
    <w:uiPriority w:val="99"/>
    <w:semiHidden/>
    <w:unhideWhenUsed/>
    <w:rsid w:val="005721F1"/>
    <w:rPr>
      <w:rFonts w:ascii="Courier New" w:eastAsia="Times New Roman" w:hAnsi="Courier New" w:cs="Courier New"/>
      <w:sz w:val="20"/>
      <w:szCs w:val="20"/>
    </w:rPr>
  </w:style>
  <w:style w:type="character" w:customStyle="1" w:styleId="token">
    <w:name w:val="token"/>
    <w:basedOn w:val="DefaultParagraphFont"/>
    <w:rsid w:val="005721F1"/>
  </w:style>
  <w:style w:type="character" w:styleId="SubtleEmphasis">
    <w:name w:val="Subtle Emphasis"/>
    <w:basedOn w:val="DefaultParagraphFont"/>
    <w:rsid w:val="005721F1"/>
    <w:rPr>
      <w:i/>
      <w:iCs/>
      <w:color w:val="404040" w:themeColor="text1" w:themeTint="BF"/>
    </w:rPr>
  </w:style>
  <w:style w:type="character" w:styleId="SubtleReference">
    <w:name w:val="Subtle Reference"/>
    <w:basedOn w:val="DefaultParagraphFont"/>
    <w:rsid w:val="005721F1"/>
    <w:rPr>
      <w:smallCaps/>
      <w:color w:val="5A5A5A" w:themeColor="text1" w:themeTint="A5"/>
    </w:rPr>
  </w:style>
  <w:style w:type="character" w:styleId="EndnoteReference">
    <w:name w:val="endnote reference"/>
    <w:basedOn w:val="DefaultParagraphFont"/>
    <w:semiHidden/>
    <w:unhideWhenUsed/>
    <w:rsid w:val="005721F1"/>
    <w:rPr>
      <w:vertAlign w:val="superscript"/>
    </w:rPr>
  </w:style>
  <w:style w:type="paragraph" w:styleId="Revision">
    <w:name w:val="Revision"/>
    <w:hidden/>
    <w:semiHidden/>
    <w:rsid w:val="005721F1"/>
    <w:pPr>
      <w:spacing w:after="0" w:line="240" w:lineRule="auto"/>
    </w:pPr>
    <w:rPr>
      <w:sz w:val="24"/>
      <w:szCs w:val="24"/>
      <w:lang w:bidi="ar-SA"/>
    </w:rPr>
  </w:style>
  <w:style w:type="paragraph" w:customStyle="1" w:styleId="AbstractTitle">
    <w:name w:val="Abstract Title"/>
    <w:basedOn w:val="Normal"/>
    <w:next w:val="Abstract"/>
    <w:qFormat/>
    <w:rsid w:val="00EF02FB"/>
    <w:pPr>
      <w:keepNext/>
      <w:keepLines/>
      <w:bidi w:val="0"/>
      <w:spacing w:before="300" w:after="0" w:line="240" w:lineRule="auto"/>
      <w:jc w:val="center"/>
    </w:pPr>
    <w:rPr>
      <w:b/>
      <w:color w:val="345A8A"/>
      <w:sz w:val="20"/>
      <w:szCs w:val="20"/>
      <w:lang w:bidi="ar-SA"/>
    </w:rPr>
  </w:style>
  <w:style w:type="paragraph" w:customStyle="1" w:styleId="Default">
    <w:name w:val="Default"/>
    <w:rsid w:val="00FE53A6"/>
    <w:pPr>
      <w:autoSpaceDE w:val="0"/>
      <w:autoSpaceDN w:val="0"/>
      <w:adjustRightInd w:val="0"/>
      <w:spacing w:after="0" w:line="240" w:lineRule="auto"/>
    </w:pPr>
    <w:rPr>
      <w:rFonts w:ascii="PLIEF D+ Gulliver" w:hAnsi="PLIEF D+ Gulliver" w:cs="PLIEF D+ Gulliver"/>
      <w:color w:val="000000"/>
      <w:sz w:val="24"/>
      <w:szCs w:val="24"/>
    </w:rPr>
  </w:style>
  <w:style w:type="character" w:styleId="Emphasis">
    <w:name w:val="Emphasis"/>
    <w:basedOn w:val="DefaultParagraphFont"/>
    <w:uiPriority w:val="20"/>
    <w:qFormat/>
    <w:rsid w:val="00A80A04"/>
    <w:rPr>
      <w:i/>
      <w:iCs/>
    </w:rPr>
  </w:style>
  <w:style w:type="paragraph" w:styleId="NormalWeb">
    <w:name w:val="Normal (Web)"/>
    <w:basedOn w:val="Normal"/>
    <w:uiPriority w:val="99"/>
    <w:unhideWhenUsed/>
    <w:rsid w:val="00441EC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nd-iwgdh3b">
    <w:name w:val="gnd-iwgdh3b"/>
    <w:basedOn w:val="DefaultParagraphFont"/>
    <w:rsid w:val="004F64D4"/>
  </w:style>
  <w:style w:type="paragraph" w:styleId="BalloonText">
    <w:name w:val="Balloon Text"/>
    <w:basedOn w:val="Normal"/>
    <w:link w:val="BalloonTextChar"/>
    <w:uiPriority w:val="99"/>
    <w:semiHidden/>
    <w:unhideWhenUsed/>
    <w:rsid w:val="00C6137E"/>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C6137E"/>
    <w:rPr>
      <w:rFonts w:ascii="Tahoma" w:hAnsi="Tahoma" w:cs="Tahoma"/>
      <w:sz w:val="18"/>
      <w:szCs w:val="18"/>
    </w:rPr>
  </w:style>
  <w:style w:type="table" w:styleId="TableGrid">
    <w:name w:val="Table Grid"/>
    <w:basedOn w:val="TableNormal"/>
    <w:uiPriority w:val="59"/>
    <w:rsid w:val="00786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BodyText"/>
    <w:link w:val="CommentsChar"/>
    <w:qFormat/>
    <w:rsid w:val="00F73527"/>
    <w:rPr>
      <w:color w:val="FF0000"/>
    </w:rPr>
  </w:style>
  <w:style w:type="character" w:customStyle="1" w:styleId="CommentsChar">
    <w:name w:val="Comments Char"/>
    <w:basedOn w:val="BodyTextChar"/>
    <w:link w:val="Comments"/>
    <w:rsid w:val="00F73527"/>
    <w:rPr>
      <w:color w:val="FF0000"/>
      <w:sz w:val="24"/>
      <w:szCs w:val="24"/>
      <w:lang w:bidi="ar-SA"/>
    </w:rPr>
  </w:style>
  <w:style w:type="character" w:styleId="IntenseEmphasis">
    <w:name w:val="Intense Emphasis"/>
    <w:basedOn w:val="DefaultParagraphFont"/>
    <w:uiPriority w:val="21"/>
    <w:qFormat/>
    <w:rsid w:val="002230DC"/>
    <w:rPr>
      <w:i/>
      <w:iCs/>
      <w:color w:val="4F81BD" w:themeColor="accent1"/>
    </w:rPr>
  </w:style>
  <w:style w:type="character" w:customStyle="1" w:styleId="UnresolvedMention1">
    <w:name w:val="Unresolved Mention1"/>
    <w:basedOn w:val="DefaultParagraphFont"/>
    <w:uiPriority w:val="99"/>
    <w:semiHidden/>
    <w:unhideWhenUsed/>
    <w:rsid w:val="00A337AF"/>
    <w:rPr>
      <w:color w:val="605E5C"/>
      <w:shd w:val="clear" w:color="auto" w:fill="E1DFDD"/>
    </w:rPr>
  </w:style>
  <w:style w:type="character" w:customStyle="1" w:styleId="ui-provider">
    <w:name w:val="ui-provider"/>
    <w:basedOn w:val="DefaultParagraphFont"/>
    <w:rsid w:val="009C5337"/>
  </w:style>
  <w:style w:type="character" w:styleId="CommentReference">
    <w:name w:val="annotation reference"/>
    <w:basedOn w:val="DefaultParagraphFont"/>
    <w:uiPriority w:val="99"/>
    <w:semiHidden/>
    <w:unhideWhenUsed/>
    <w:rsid w:val="009761E2"/>
    <w:rPr>
      <w:sz w:val="16"/>
      <w:szCs w:val="16"/>
    </w:rPr>
  </w:style>
  <w:style w:type="paragraph" w:styleId="CommentText">
    <w:name w:val="annotation text"/>
    <w:basedOn w:val="Normal"/>
    <w:link w:val="CommentTextChar"/>
    <w:uiPriority w:val="99"/>
    <w:unhideWhenUsed/>
    <w:rsid w:val="009761E2"/>
    <w:pPr>
      <w:spacing w:line="240" w:lineRule="auto"/>
    </w:pPr>
    <w:rPr>
      <w:sz w:val="20"/>
      <w:szCs w:val="20"/>
    </w:rPr>
  </w:style>
  <w:style w:type="character" w:customStyle="1" w:styleId="CommentTextChar">
    <w:name w:val="Comment Text Char"/>
    <w:basedOn w:val="DefaultParagraphFont"/>
    <w:link w:val="CommentText"/>
    <w:uiPriority w:val="99"/>
    <w:rsid w:val="009761E2"/>
    <w:rPr>
      <w:sz w:val="20"/>
      <w:szCs w:val="20"/>
    </w:rPr>
  </w:style>
  <w:style w:type="paragraph" w:styleId="CommentSubject">
    <w:name w:val="annotation subject"/>
    <w:basedOn w:val="CommentText"/>
    <w:next w:val="CommentText"/>
    <w:link w:val="CommentSubjectChar"/>
    <w:uiPriority w:val="99"/>
    <w:semiHidden/>
    <w:unhideWhenUsed/>
    <w:rsid w:val="009761E2"/>
    <w:rPr>
      <w:b/>
      <w:bCs/>
    </w:rPr>
  </w:style>
  <w:style w:type="character" w:customStyle="1" w:styleId="CommentSubjectChar">
    <w:name w:val="Comment Subject Char"/>
    <w:basedOn w:val="CommentTextChar"/>
    <w:link w:val="CommentSubject"/>
    <w:uiPriority w:val="99"/>
    <w:semiHidden/>
    <w:rsid w:val="009761E2"/>
    <w:rPr>
      <w:b/>
      <w:bCs/>
      <w:sz w:val="20"/>
      <w:szCs w:val="20"/>
    </w:rPr>
  </w:style>
  <w:style w:type="character" w:customStyle="1" w:styleId="UnresolvedMention2">
    <w:name w:val="Unresolved Mention2"/>
    <w:basedOn w:val="DefaultParagraphFont"/>
    <w:uiPriority w:val="99"/>
    <w:semiHidden/>
    <w:unhideWhenUsed/>
    <w:rsid w:val="00DB142B"/>
    <w:rPr>
      <w:color w:val="605E5C"/>
      <w:shd w:val="clear" w:color="auto" w:fill="E1DFDD"/>
    </w:rPr>
  </w:style>
  <w:style w:type="character" w:customStyle="1" w:styleId="katex-mathml">
    <w:name w:val="katex-mathml"/>
    <w:basedOn w:val="DefaultParagraphFont"/>
    <w:rsid w:val="00B72490"/>
  </w:style>
  <w:style w:type="character" w:customStyle="1" w:styleId="mord">
    <w:name w:val="mord"/>
    <w:basedOn w:val="DefaultParagraphFont"/>
    <w:rsid w:val="00B72490"/>
  </w:style>
  <w:style w:type="character" w:customStyle="1" w:styleId="vlist-s">
    <w:name w:val="vlist-s"/>
    <w:basedOn w:val="DefaultParagraphFont"/>
    <w:rsid w:val="00B72490"/>
  </w:style>
  <w:style w:type="character" w:customStyle="1" w:styleId="mrel">
    <w:name w:val="mrel"/>
    <w:basedOn w:val="DefaultParagraphFont"/>
    <w:rsid w:val="00B72490"/>
  </w:style>
  <w:style w:type="character" w:customStyle="1" w:styleId="mbin">
    <w:name w:val="mbin"/>
    <w:basedOn w:val="DefaultParagraphFont"/>
    <w:rsid w:val="00B72490"/>
  </w:style>
  <w:style w:type="character" w:customStyle="1" w:styleId="mopen">
    <w:name w:val="mopen"/>
    <w:basedOn w:val="DefaultParagraphFont"/>
    <w:rsid w:val="0053005A"/>
  </w:style>
  <w:style w:type="character" w:customStyle="1" w:styleId="mclose">
    <w:name w:val="mclose"/>
    <w:basedOn w:val="DefaultParagraphFont"/>
    <w:rsid w:val="0053005A"/>
  </w:style>
  <w:style w:type="character" w:customStyle="1" w:styleId="UnresolvedMention3">
    <w:name w:val="Unresolved Mention3"/>
    <w:basedOn w:val="DefaultParagraphFont"/>
    <w:uiPriority w:val="99"/>
    <w:semiHidden/>
    <w:unhideWhenUsed/>
    <w:rsid w:val="00DB1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734636">
      <w:bodyDiv w:val="1"/>
      <w:marLeft w:val="0"/>
      <w:marRight w:val="0"/>
      <w:marTop w:val="0"/>
      <w:marBottom w:val="0"/>
      <w:divBdr>
        <w:top w:val="none" w:sz="0" w:space="0" w:color="auto"/>
        <w:left w:val="none" w:sz="0" w:space="0" w:color="auto"/>
        <w:bottom w:val="none" w:sz="0" w:space="0" w:color="auto"/>
        <w:right w:val="none" w:sz="0" w:space="0" w:color="auto"/>
      </w:divBdr>
    </w:div>
    <w:div w:id="54764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cohenimhuji/WorkingPapers/tree/main/DSGE_with_housing/" TargetMode="External"/><Relationship Id="rId18" Type="http://schemas.openxmlformats.org/officeDocument/2006/relationships/image" Target="media/image5.sv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webSettings" Target="webSettings.xml"/><Relationship Id="rId12" Type="http://schemas.openxmlformats.org/officeDocument/2006/relationships/hyperlink" Target="file:///G:\My%20Drive\Research\DSGE_with_housing\Report\Draft_Word_2024\yaakov.chen-zion@boi.org.il"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G:\My%20Drive\Research\DSGE_with_housing\Report\Draft_Word_2024\nimrod.cohen@boi.org.il" TargetMode="External"/><Relationship Id="rId24" Type="http://schemas.openxmlformats.org/officeDocument/2006/relationships/image" Target="media/image10.jpe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jpeg"/><Relationship Id="rId10" Type="http://schemas.openxmlformats.org/officeDocument/2006/relationships/hyperlink" Target="mailto:alexei.ilek@boi.org.il" TargetMode="External"/><Relationship Id="rId19" Type="http://schemas.openxmlformats.org/officeDocument/2006/relationships/image" Target="media/image6.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github.com/cohenimhuji/WorkingPapers/tree/main/DSGE_with_housing/"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imrod Utopia David">
      <a:majorFont>
        <a:latin typeface="Utopia"/>
        <a:ea typeface=""/>
        <a:cs typeface="David"/>
      </a:majorFont>
      <a:minorFont>
        <a:latin typeface="Utopia"/>
        <a:ea typeface=""/>
        <a:cs typeface="David"/>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51442917CFE704790164B263CAAF575" ma:contentTypeVersion="11" ma:contentTypeDescription="Create a new document." ma:contentTypeScope="" ma:versionID="a1ef2c789621d66076d9d971e61dcaf0">
  <xsd:schema xmlns:xsd="http://www.w3.org/2001/XMLSchema" xmlns:xs="http://www.w3.org/2001/XMLSchema" xmlns:p="http://schemas.microsoft.com/office/2006/metadata/properties" xmlns:ns2="a2710d13-c19f-4aa0-a5ae-ae19640f03ec" xmlns:ns3="83266b58-abd7-41f4-be6d-f32bbaa2e68e" targetNamespace="http://schemas.microsoft.com/office/2006/metadata/properties" ma:root="true" ma:fieldsID="22f3650acaeb10ba3e36b81a07605881" ns2:_="" ns3:_="">
    <xsd:import namespace="a2710d13-c19f-4aa0-a5ae-ae19640f03ec"/>
    <xsd:import namespace="83266b58-abd7-41f4-be6d-f32bbaa2e68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710d13-c19f-4aa0-a5ae-ae19640f03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56e817a-1b5b-4cbf-ab56-3caf274bf6f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266b58-abd7-41f4-be6d-f32bbaa2e68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9b7e3b-6bed-4eca-a6cc-334014b81e1f}" ma:internalName="TaxCatchAll" ma:showField="CatchAllData" ma:web="83266b58-abd7-41f4-be6d-f32bbaa2e6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950563-D706-4619-ABBA-CC05DB83D0AF}">
  <ds:schemaRefs>
    <ds:schemaRef ds:uri="http://schemas.microsoft.com/sharepoint/v3/contenttype/forms"/>
  </ds:schemaRefs>
</ds:datastoreItem>
</file>

<file path=customXml/itemProps2.xml><?xml version="1.0" encoding="utf-8"?>
<ds:datastoreItem xmlns:ds="http://schemas.openxmlformats.org/officeDocument/2006/customXml" ds:itemID="{18B5327F-9412-4F61-94A3-1E962D11C6CC}">
  <ds:schemaRefs>
    <ds:schemaRef ds:uri="http://schemas.openxmlformats.org/officeDocument/2006/bibliography"/>
  </ds:schemaRefs>
</ds:datastoreItem>
</file>

<file path=customXml/itemProps3.xml><?xml version="1.0" encoding="utf-8"?>
<ds:datastoreItem xmlns:ds="http://schemas.openxmlformats.org/officeDocument/2006/customXml" ds:itemID="{22104575-1C6D-4B6E-8D34-487212473F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710d13-c19f-4aa0-a5ae-ae19640f03ec"/>
    <ds:schemaRef ds:uri="83266b58-abd7-41f4-be6d-f32bbaa2e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d28076-ab15-4b0a-8af8-1b2fee9be159}" enabled="1" method="Privileged" siteId="{c8a003ea-cf3a-46c6-ad16-106dd0d355ac}" contentBits="0" removed="0"/>
</clbl:labelList>
</file>

<file path=docProps/app.xml><?xml version="1.0" encoding="utf-8"?>
<Properties xmlns="http://schemas.openxmlformats.org/officeDocument/2006/extended-properties" xmlns:vt="http://schemas.openxmlformats.org/officeDocument/2006/docPropsVTypes">
  <Template>Normal.dotm</Template>
  <TotalTime>8021</TotalTime>
  <Pages>41</Pages>
  <Words>35132</Words>
  <Characters>202364</Characters>
  <Application>Microsoft Office Word</Application>
  <DocSecurity>0</DocSecurity>
  <Lines>4047</Lines>
  <Paragraphs>1503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BOI</Company>
  <LinksUpToDate>false</LinksUpToDate>
  <CharactersWithSpaces>235993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אלכס אילק</dc:creator>
  <cp:lastModifiedBy>נמרוד כהן</cp:lastModifiedBy>
  <cp:revision>1169</cp:revision>
  <cp:lastPrinted>2026-03-10T16:32:00Z</cp:lastPrinted>
  <dcterms:created xsi:type="dcterms:W3CDTF">2025-12-28T11:54:00Z</dcterms:created>
  <dcterms:modified xsi:type="dcterms:W3CDTF">2026-03-10T16:35:00Z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d28076-ab15-4b0a-8af8-1b2fee9be159_ActionId">
    <vt:lpwstr>fe7cb4f0-eb61-4182-aa75-fb94159122eb</vt:lpwstr>
  </property>
  <property fmtid="{D5CDD505-2E9C-101B-9397-08002B2CF9AE}" pid="3" name="MSIP_Label_f4d28076-ab15-4b0a-8af8-1b2fee9be159_ContentBits">
    <vt:lpwstr>0</vt:lpwstr>
  </property>
  <property fmtid="{D5CDD505-2E9C-101B-9397-08002B2CF9AE}" pid="4" name="MSIP_Label_f4d28076-ab15-4b0a-8af8-1b2fee9be159_Enabled">
    <vt:lpwstr>true</vt:lpwstr>
  </property>
  <property fmtid="{D5CDD505-2E9C-101B-9397-08002B2CF9AE}" pid="5" name="MSIP_Label_f4d28076-ab15-4b0a-8af8-1b2fee9be159_Method">
    <vt:lpwstr>Privileged</vt:lpwstr>
  </property>
  <property fmtid="{D5CDD505-2E9C-101B-9397-08002B2CF9AE}" pid="6" name="MSIP_Label_f4d28076-ab15-4b0a-8af8-1b2fee9be159_Name">
    <vt:lpwstr>בלתי מסווג</vt:lpwstr>
  </property>
  <property fmtid="{D5CDD505-2E9C-101B-9397-08002B2CF9AE}" pid="7" name="MSIP_Label_f4d28076-ab15-4b0a-8af8-1b2fee9be159_SetDate">
    <vt:lpwstr>2024-08-27T11:29:21Z</vt:lpwstr>
  </property>
  <property fmtid="{D5CDD505-2E9C-101B-9397-08002B2CF9AE}" pid="8" name="MSIP_Label_f4d28076-ab15-4b0a-8af8-1b2fee9be159_SiteId">
    <vt:lpwstr>c8a003ea-cf3a-46c6-ad16-106dd0d355ac</vt:lpwstr>
  </property>
  <property fmtid="{D5CDD505-2E9C-101B-9397-08002B2CF9AE}" pid="9" name="ZOTERO_PREF_1">
    <vt:lpwstr>&lt;data data-version="3" zotero-version="8.0.3"&gt;&lt;session id="FigsttBU"/&gt;&lt;style id="http://www.zotero.org/styles/the-quarterly-journal-of-economics" hasBibliography="1" bibliographyStyleHasBeenSet="1"/&gt;&lt;prefs&gt;&lt;pref name="fieldType" value="Field"/&gt;&lt;/prefs&gt;&lt;/d</vt:lpwstr>
  </property>
  <property fmtid="{D5CDD505-2E9C-101B-9397-08002B2CF9AE}" pid="10" name="ZOTERO_PREF_2">
    <vt:lpwstr>ata&gt;</vt:lpwstr>
  </property>
</Properties>
</file>