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3F91B">
      <w:pPr>
        <w:pStyle w:val="3"/>
        <w:bidi w:val="0"/>
      </w:pPr>
      <w:r>
        <w:rPr>
          <w:rFonts w:hint="eastAsia"/>
          <w:lang w:val="en-US" w:eastAsia="zh-CN"/>
        </w:rPr>
        <w:t>5</w:t>
      </w:r>
      <w:r>
        <w:t>.应用场景与市场空间</w:t>
      </w:r>
    </w:p>
    <w:p w14:paraId="398E6362">
      <w:pPr>
        <w:pStyle w:val="4"/>
        <w:bidi w:val="0"/>
      </w:pPr>
      <w:r>
        <w:t>5.1 钢琴教学与陪练</w:t>
      </w:r>
    </w:p>
    <w:p w14:paraId="04344699">
      <w:pPr>
        <w:bidi w:val="0"/>
      </w:pPr>
      <w:r>
        <w:t>这是项目最直接的应用场景。国内数千万琴童在课后练习时普遍缺乏有效的音准节奏反馈，而教师指定的教材往往不在任何智能陪练软件的曲库内。项目通过拍照即识别、自动加载跟练流程，将任意纸质乐谱变成可纠错跟弹的数字工具，直接解决了这一高频刚需。这一场景自然地延伸到每年超百万人次的考级备考需求，考生将考级曲谱转为标准MIDI后进行逐段慢练与错音检测，能以极低成本获得接近专业陪练的备考效果。</w:t>
      </w:r>
    </w:p>
    <w:p w14:paraId="5F1F68BD">
      <w:pPr>
        <w:pStyle w:val="4"/>
        <w:bidi w:val="0"/>
      </w:pPr>
      <w:r>
        <w:t>5.2 乐谱出版与内容分发</w:t>
      </w:r>
    </w:p>
    <w:p w14:paraId="056652F7">
      <w:pPr>
        <w:bidi w:val="0"/>
      </w:pPr>
      <w:r>
        <w:t>当大量个人用户通过上述场景不断产生高质量的数字乐谱后，版权内容的正规化与分发就成为了必然延伸。音乐出版社正面临数字化转型压力，本项目的识谱能力可为其提供纸谱批量转MusicXML的管道，支撑交互式电子乐谱的订阅与销售，帮助出版业从“卖书”升级为“卖服务”。这一环节又将标准化数字乐谱反向输送给教学端和练习端，形成供需闭环。</w:t>
      </w:r>
    </w:p>
    <w:p w14:paraId="1D359335">
      <w:pPr>
        <w:pStyle w:val="4"/>
        <w:bidi w:val="0"/>
      </w:pPr>
      <w:r>
        <w:t>5.3 在线教育平台集成</w:t>
      </w:r>
    </w:p>
    <w:p w14:paraId="5B43BF81">
      <w:pPr>
        <w:bidi w:val="0"/>
      </w:pPr>
      <w:r>
        <w:t>出版侧的正版乐谱和个人侧的练习需求，最终会在在线陪练平台和钢琴MOOC中交汇。当前平台受限于内置曲库标准化，无法覆盖用户想练习的任意曲目。通过API将识谱与跟练能力嵌入平台，使其支持“拍什么练什么”，帮平台突破内容瓶颈、提升用户留存。由此，项目的市场覆盖从直接用户扩展到整个在线音乐教育赛道。</w:t>
      </w:r>
    </w:p>
    <w:p w14:paraId="207B5A8B">
      <w:pPr>
        <w:pStyle w:val="4"/>
        <w:bidi w:val="0"/>
      </w:pPr>
      <w:r>
        <w:t>5.4 市场空间</w:t>
      </w:r>
    </w:p>
    <w:p w14:paraId="1AD6826B">
      <w:pPr>
        <w:bidi w:val="0"/>
      </w:pPr>
      <w:r>
        <w:t>以上场景贯穿了教学、考级、出版、平台四个环节，每个环节都指向同一个核心价值——将纸质乐谱即时转化为可交互的数字练习资源。这些场景对应的素质教育、考级衍生和数字乐谱市场规模合计达数百亿级，而专门打通这一链条的产品尚属空白，项目具备显著的先发优势和跨场景整合潜力。</w:t>
      </w:r>
    </w:p>
    <w:p w14:paraId="0423026E">
      <w:pPr>
        <w:pStyle w:val="3"/>
        <w:bidi w:val="0"/>
      </w:pPr>
      <w:r>
        <w:rPr>
          <w:rFonts w:hint="eastAsia"/>
          <w:lang w:val="en-US" w:eastAsia="zh-CN"/>
        </w:rPr>
        <w:t>6</w:t>
      </w:r>
      <w:r>
        <w:t>.商业模式与产业化路径</w:t>
      </w:r>
    </w:p>
    <w:p w14:paraId="41A20C94">
      <w:pPr>
        <w:pStyle w:val="4"/>
        <w:bidi w:val="0"/>
      </w:pPr>
      <w:r>
        <w:t>6.1 个人订阅工具（早期创收）</w:t>
      </w:r>
    </w:p>
    <w:p w14:paraId="5F4DABB0">
      <w:pPr>
        <w:bidi w:val="0"/>
      </w:pPr>
      <w:r>
        <w:t>产品初期以桌面端工具切入，免费版限制识别次数，专业版按月/年订阅解锁无限识别与高级功能。通过B站钢琴UP主、考级社群等渠道以“拍啥练啥”的核心卖点进行场景化种草，快速验证付费意愿并积累早期用户。</w:t>
      </w:r>
    </w:p>
    <w:p w14:paraId="0F137A9A">
      <w:pPr>
        <w:pStyle w:val="4"/>
        <w:bidi w:val="0"/>
      </w:pPr>
      <w:r>
        <w:t>6.2 机构SaaS及私有化（规模化营收）</w:t>
      </w:r>
    </w:p>
    <w:p w14:paraId="48DE6D5E">
      <w:pPr>
        <w:bidi w:val="0"/>
      </w:pPr>
      <w:r>
        <w:t>个人用户规模形成口碑后，向上拓展至琴行、培训学校和中小学，提供教师管理后台、练习数据报告等功能，按师生规模收取年费；对数据安全要求高的院校则提供私有化部署，收取授权加维护费，建立持续性B端营收。</w:t>
      </w:r>
    </w:p>
    <w:p w14:paraId="7E2C7E9F">
      <w:pPr>
        <w:pStyle w:val="4"/>
        <w:bidi w:val="0"/>
      </w:pPr>
      <w:r>
        <w:t>6.3 内容商店与生态（长期壁垒）</w:t>
      </w:r>
    </w:p>
    <w:p w14:paraId="3C6E3273">
      <w:pPr>
        <w:bidi w:val="0"/>
      </w:pPr>
      <w:r>
        <w:t>B端和C端长期使用所积累的高质量乐谱并非副产品，而是构建壁垒的核心资产。建立官方正版数字乐谱商店，与出版社分账销售，同时以积分激励社区用户上传，形成“版权+社区”双轮内容飞轮，从工具进化为拥有内容分发权的平台。</w:t>
      </w:r>
    </w:p>
    <w:p w14:paraId="2875227E">
      <w:pPr>
        <w:pStyle w:val="4"/>
        <w:bidi w:val="0"/>
      </w:pPr>
      <w:r>
        <w:t>6.4 B2B API与SDK授权（横向赋能）</w:t>
      </w:r>
    </w:p>
    <w:p w14:paraId="0BA0C56C">
      <w:pPr>
        <w:bidi w:val="0"/>
      </w:pPr>
      <w:r>
        <w:t>将识谱与转换能力封装为云端API按调用量计费，或提供本地SDK嵌入智能钢琴、乐谱平板等硬件按设备收权利金。这一模式在增加收入的同时，让核心技术占据更多行业入口，形成外部数据与流量杠杆。</w:t>
      </w:r>
    </w:p>
    <w:p w14:paraId="62192BF1">
      <w:pPr>
        <w:pStyle w:val="4"/>
        <w:bidi w:val="0"/>
      </w:pPr>
      <w:r>
        <w:t>6.5 推进路径</w:t>
      </w:r>
    </w:p>
    <w:p w14:paraId="76DA4975">
      <w:pPr>
        <w:bidi w:val="0"/>
      </w:pPr>
      <w:r>
        <w:t>以上模式按节奏递进：先死磕识别精度与体验，靠KOL口碑完成冷启动；验证市场后融资加速跨平台与订阅体系，签下首批机构客户；最后打通出版社版权合作、开放API、上线内容商店，完成从工具到平台再到生态的三级跃迁。</w:t>
      </w:r>
    </w:p>
    <w:p w14:paraId="20F220F6">
      <w:pPr>
        <w:bidi w:val="0"/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Optima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quote-cjk-patc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7F7B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 w:line="240" w:lineRule="auto"/>
      <w:jc w:val="left"/>
    </w:pPr>
    <w:rPr>
      <w:color w:val="333333"/>
      <w:sz w:val="22"/>
      <w:szCs w:val="22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5">
    <w:name w:val="heading 4"/>
    <w:basedOn w:val="1"/>
    <w:next w:val="1"/>
    <w:qFormat/>
    <w:uiPriority w:val="9"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3</TotalTime>
  <ScaleCrop>false</ScaleCrop>
  <LinksUpToDate>false</LinksUpToDate>
  <Application>WPS Office_12.8.2.21555_F1E327BC-269C-435d-A152-05C5408002CA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2026-05-27T23:13:00Z</dcterms:created>
  <dc:creator>BIXZ</dc:creator>
  <cp:lastModifiedBy>邹正0226</cp:lastModifiedBy>
  <dcterms:modified xsi:type="dcterms:W3CDTF">2026-05-27T15:18:20Z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29F516DFFE7045D6816507921697868A_12</vt:lpwstr>
  </property>
</Properties>
</file>