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89E9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450" w:beforeAutospacing="0" w:after="225" w:afterAutospacing="0"/>
        <w:ind w:left="336" w:leftChars="0" w:right="0" w:rightChars="0" w:hanging="336" w:firstLineChars="0"/>
        <w:jc w:val="both"/>
        <w:outlineLvl w:val="1"/>
      </w:pPr>
      <w:r>
        <w:rPr>
          <w:rFonts w:hint="eastAsia" w:cs="宋体"/>
          <w:b/>
          <w:bCs/>
          <w:kern w:val="0"/>
          <w:sz w:val="36"/>
          <w:szCs w:val="36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.</w:t>
      </w:r>
      <w:r>
        <w:t xml:space="preserve"> </w:t>
      </w:r>
      <w:r>
        <w:rPr>
          <w:rFonts w:ascii="Optima-Regular" w:hAnsi="Optima-Regular" w:eastAsia="Optima-Regular" w:cs="Optima-Regular"/>
          <w:b/>
          <w:bCs/>
          <w:i w:val="0"/>
          <w:iCs w:val="0"/>
          <w:color w:val="000000"/>
          <w:spacing w:val="0"/>
          <w:w w:val="100"/>
          <w:sz w:val="33"/>
          <w:szCs w:val="33"/>
          <w:shd w:val="clear" w:fill="FFFFFF"/>
          <w:vertAlign w:val="baseline"/>
        </w:rPr>
        <w:t>核心技术方案与知识产权壁垒</w:t>
      </w:r>
    </w:p>
    <w:p w14:paraId="49AD408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3.1 整体技术架构</w:t>
      </w:r>
    </w:p>
    <w:p w14:paraId="541CCE00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15" w:lineRule="atLeast"/>
        <w:ind w:left="0" w:right="0"/>
        <w:jc w:val="left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本系统采用模块化分层设计，核心分为三层：</w:t>
      </w:r>
    </w:p>
    <w:p w14:paraId="743FC5A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前端交互层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：负责乐谱图像采集、用户操作控制与结果展示，支持拍照、本地图片导入。</w:t>
      </w:r>
    </w:p>
    <w:p w14:paraId="715EFAC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核心处理层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 xml:space="preserve">：包含两大关键模块 </w:t>
      </w:r>
    </w:p>
    <w:p w14:paraId="6B49533C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1）光学乐谱识别模块（OMR）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：基于传统图像处理与规则引擎，实现乐谱图像到结构化数字乐谱的转换。</w:t>
      </w:r>
    </w:p>
    <w:p w14:paraId="2A1B8AD3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2）音频比对与纠音模块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：基于音频特征提取与时序分析技术，实现演奏音频与标准乐谱的实时比对与错误标注。</w:t>
      </w:r>
    </w:p>
    <w:p w14:paraId="5DE4D0F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数据输出层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：提供数字乐谱（MusicXML/MIDI 格式),支持本地保存与导出。</w:t>
      </w:r>
    </w:p>
    <w:p w14:paraId="4AEB373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3.2 关键技术方案</w:t>
      </w:r>
    </w:p>
    <w:p w14:paraId="1C8CBA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3.2.1 光学乐谱识别模块</w:t>
      </w:r>
    </w:p>
    <w:p w14:paraId="5F6FF68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图像预处理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：通过灰度化、二值化、倾斜校正、去噪增强等步骤，提升图像质量，降低识别难度。</w:t>
      </w:r>
    </w:p>
    <w:p w14:paraId="2A0719C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谱线与音符分离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：利用投影法与形态学操作，分离五线谱线与音符符号，构建乐谱骨架。</w:t>
      </w:r>
    </w:p>
    <w:p w14:paraId="32F9CAF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符号检测与分类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：基于模板匹配与规则引擎，识别谱号、调号、拍号、音符、休止符等符号，并映射为乐理语义。</w:t>
      </w:r>
    </w:p>
    <w:p w14:paraId="31D3EDE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乐谱重建与输出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：根据乐理规则构建时序关系，生成可编辑的数字乐谱（MusicXML/MIDI 格式），支持后续播放与分析。</w:t>
      </w:r>
    </w:p>
    <w:p w14:paraId="2B488B1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性能指标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：印刷乐谱识别准确率≥75%，单页乐谱处理时间≤5秒。</w:t>
      </w:r>
    </w:p>
    <w:p w14:paraId="34CFC77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3.2.2 音符比对与实时纠音模块</w:t>
      </w:r>
    </w:p>
    <w:p w14:paraId="7192BF9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标准乐谱解析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：读取 MIDI/MusicXML 文件，提取标准音高、时值、节拍位置等关键信息，构建基准序列。</w:t>
      </w:r>
    </w:p>
    <w:p w14:paraId="37D844A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音频采集与特征提取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：通过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MIDI输入/MIDI事件比对/电子键盘输入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实时采集演奏音频，进行预处理（降噪、分帧），提取基频（音高）与节拍特征。</w:t>
      </w:r>
    </w:p>
    <w:p w14:paraId="3AACA2A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时序与音高比对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：将采集的音频特征与标准序列进行帧级比对，根据预设阈值判断音准偏差、节奏错误。</w:t>
      </w:r>
    </w:p>
    <w:p w14:paraId="5A19963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实时反馈与错误标注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：在播放界面实时标注错误位置，区分音准错误、节奏错误，并给出修正提示。</w:t>
      </w:r>
    </w:p>
    <w:p w14:paraId="30AA107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性能指标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：实时反馈延迟≤200ms，单音 / 简单和弦纠音准确率≥75%。</w:t>
      </w:r>
    </w:p>
    <w:p w14:paraId="339E41B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3.3 知识产权壁垒</w:t>
      </w:r>
    </w:p>
    <w:p w14:paraId="1DC1885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技术方案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项目已完成开源组件集成与流程自动化，实现乐谱识别、音频比对、实时纠音等关键功能，形成可运行的原型系统与完整技术文档，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技术路线成熟可靠，具备持续优化与落地推广条件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。</w:t>
      </w:r>
    </w:p>
    <w:p w14:paraId="4E379B4C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系统架构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：“识别 - 播放 - 纠音 ” 一体化闭环设计，区别于现有单一功能工具，具备独特的产品形态优势。</w:t>
      </w:r>
    </w:p>
    <w:p w14:paraId="490E2FF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适配性优化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目前系统对输入图像的清晰度、拍摄角度有一定要求，需要用户提供标准、无遮挡的印刷乐谱。我们已经在预处理环节做了倾斜校正、降噪等优化，为后续提升鲁棒性预留了技术空间。</w:t>
      </w:r>
    </w:p>
    <w:p w14:paraId="736A010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450" w:beforeAutospacing="0" w:after="225" w:afterAutospacing="0"/>
        <w:ind w:left="336" w:leftChars="0" w:right="0" w:rightChars="0" w:hanging="336" w:firstLineChars="0"/>
        <w:jc w:val="both"/>
        <w:outlineLvl w:val="1"/>
      </w:pPr>
      <w:r>
        <w:rPr>
          <w:rFonts w:hint="eastAsia" w:cs="宋体"/>
          <w:b/>
          <w:bCs/>
          <w:kern w:val="0"/>
          <w:sz w:val="36"/>
          <w:szCs w:val="36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.</w:t>
      </w:r>
      <w:r>
        <w:t xml:space="preserve"> </w:t>
      </w:r>
      <w:r>
        <w:rPr>
          <w:rFonts w:hint="default" w:ascii="Optima-Regular" w:hAnsi="Optima-Regular" w:eastAsia="Optima-Regular" w:cs="Optima-Regular"/>
          <w:b/>
          <w:bCs/>
          <w:i w:val="0"/>
          <w:iCs w:val="0"/>
          <w:color w:val="000000"/>
          <w:spacing w:val="0"/>
          <w:w w:val="100"/>
          <w:sz w:val="33"/>
          <w:szCs w:val="33"/>
          <w:shd w:val="clear" w:fill="FFFFFF"/>
          <w:vertAlign w:val="baseline"/>
        </w:rPr>
        <w:t>最小可行性产品（MVP）验证与演示</w:t>
      </w:r>
    </w:p>
    <w:p w14:paraId="62CFA78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4.1 MVP 产品形态</w:t>
      </w:r>
    </w:p>
    <w:p w14:paraId="6A7F58EA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产品定位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：面向音乐学习者的轻量化桌面端应用，聚焦核心功能验证，不追求全面商业化。</w:t>
      </w:r>
    </w:p>
    <w:p w14:paraId="04942545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核心功能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 基础乐谱识别：支持印刷乐谱图片导入，生成数字乐谱并导出 MIDI。</w:t>
      </w:r>
    </w:p>
    <w:p w14:paraId="5F5B7581">
      <w:pPr>
        <w:pStyle w:val="5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60" w:afterAutospacing="0" w:line="15" w:lineRule="atLeast"/>
        <w:ind w:left="756" w:leftChars="200" w:right="0" w:hanging="336"/>
        <w:jc w:val="both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标准乐谱播放：支持 MIDI 文件导入与播放，提供速度调节功能。</w:t>
      </w:r>
    </w:p>
    <w:p w14:paraId="4C392B14">
      <w:pPr>
        <w:pStyle w:val="5"/>
        <w:keepNext w:val="0"/>
        <w:keepLines w:val="0"/>
        <w:widowControl/>
        <w:numPr>
          <w:ilvl w:val="1"/>
          <w:numId w:val="5"/>
        </w:numPr>
        <w:suppressLineNumbers w:val="0"/>
        <w:spacing w:before="60" w:beforeAutospacing="0" w:after="60" w:afterAutospacing="0" w:line="15" w:lineRule="atLeast"/>
        <w:ind w:left="756" w:leftChars="200" w:right="0" w:hanging="336"/>
        <w:jc w:val="both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单音 / 简单和弦实时纠音：支持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MIDI输入/MIDI事件比对/电子键盘输入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，实现基础音准与节奏比对反馈。</w:t>
      </w:r>
    </w:p>
    <w:p w14:paraId="41E0C8D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4.2 验证进展</w:t>
      </w:r>
    </w:p>
    <w:p w14:paraId="60023906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功能验证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 xml:space="preserve">： </w:t>
      </w:r>
    </w:p>
    <w:p w14:paraId="4E79CFC5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已完成印刷乐谱识别核心流程，测试集识别准确率达到 75% 以上。</w:t>
      </w:r>
    </w:p>
    <w:p w14:paraId="722F8031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 w:line="15" w:lineRule="atLeast"/>
        <w:ind w:left="756" w:leftChars="200" w:right="0" w:hanging="336"/>
        <w:jc w:val="both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已实现标准乐谱播放与MIDI事件比对，单音纠音功能可稳定运行。</w:t>
      </w:r>
    </w:p>
    <w:p w14:paraId="0DA012EC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spacing w:before="60" w:beforeAutospacing="0" w:after="60" w:afterAutospacing="0" w:line="15" w:lineRule="atLeast"/>
        <w:ind w:left="756" w:leftChars="200" w:right="0" w:hanging="336"/>
        <w:jc w:val="both"/>
      </w:pP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已完成桌面端交互界面开发，支持用户操作与结果展示。</w:t>
      </w:r>
    </w:p>
    <w:p w14:paraId="5BCD507D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用户测试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目前已完成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内部功能验证与测试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，在开发环境下对核心功能进行了多轮自测，验证了乐谱识别速度、纠音延迟等关键指标，确认系统可稳定运行，满足基础使用需求。后续将开展真实用户测试，收集反馈进行迭代优化。</w:t>
      </w:r>
    </w:p>
    <w:p w14:paraId="26B1530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4.3 演示流程设计</w:t>
      </w:r>
    </w:p>
    <w:p w14:paraId="4962F109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乐谱识别演示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：导入一张印刷乐谱图片，展示从图像到数字乐谱的转换过程，输出 MIDI 文件。</w:t>
      </w:r>
    </w:p>
    <w:p w14:paraId="6FA40357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标准播放演示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：导入识别生成的 MIDI 文件，演示不同速度的播放功能。</w:t>
      </w:r>
    </w:p>
    <w:p w14:paraId="28C8925D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5" w:lineRule="atLeast"/>
        <w:ind w:left="0" w:right="0"/>
        <w:jc w:val="both"/>
      </w:pPr>
      <w:r>
        <w:t xml:space="preserve"> </w:t>
      </w:r>
      <w:r>
        <w:rPr>
          <w:b/>
          <w:bCs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实时纠音演示</w:t>
      </w:r>
      <w:r>
        <w:rPr>
          <w:b w:val="0"/>
          <w:bCs w:val="0"/>
          <w:i w:val="0"/>
          <w:iCs w:val="0"/>
          <w:color w:val="1F2329"/>
          <w:spacing w:val="0"/>
          <w:w w:val="100"/>
          <w:sz w:val="24"/>
          <w:szCs w:val="24"/>
          <w:vertAlign w:val="baseline"/>
        </w:rPr>
        <w:t>：用户使用MIDI键盘/电钢琴演奏乐谱片段，系统实时标注音准与节奏错误。</w:t>
      </w:r>
    </w:p>
    <w:p w14:paraId="77AC4896"/>
    <w:p w14:paraId="47C8916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7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7.财务预测与经济性分析</w:t>
      </w:r>
    </w:p>
    <w:p w14:paraId="1FE1659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7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7.1收入预测</w:t>
      </w:r>
    </w:p>
    <w:p w14:paraId="591F3861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jc w:val="left"/>
      </w:pPr>
      <w:r>
        <w:rPr>
          <w:b/>
          <w:bCs/>
          <w:i w:val="0"/>
          <w:iCs w:val="0"/>
          <w:color w:val="0F1115"/>
          <w:spacing w:val="0"/>
          <w:w w:val="100"/>
          <w:sz w:val="28"/>
          <w:szCs w:val="28"/>
          <w:shd w:val="clear" w:fill="FFFFFF"/>
          <w:vertAlign w:val="baseline"/>
        </w:rPr>
        <w:t>核心假设（保守、真实）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1790"/>
        <w:gridCol w:w="1580"/>
      </w:tblGrid>
      <w:tr w14:paraId="3F072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580" w:type="dxa"/>
            <w:tcBorders>
              <w:top w:val="single" w:color="CBCDD1" w:sz="2" w:space="0"/>
              <w:left w:val="single" w:color="CBCDD1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70C6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参数</w:t>
            </w:r>
          </w:p>
        </w:tc>
        <w:tc>
          <w:tcPr>
            <w:tcW w:w="179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60A8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假设值</w:t>
            </w:r>
          </w:p>
        </w:tc>
        <w:tc>
          <w:tcPr>
            <w:tcW w:w="158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86B6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说明</w:t>
            </w:r>
          </w:p>
        </w:tc>
      </w:tr>
      <w:tr w14:paraId="36831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580" w:type="dxa"/>
            <w:tcBorders>
              <w:top w:val="single" w:color="686868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AB58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专业版年付</w:t>
            </w:r>
          </w:p>
        </w:tc>
        <w:tc>
          <w:tcPr>
            <w:tcW w:w="179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F18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199元</w:t>
            </w:r>
          </w:p>
        </w:tc>
        <w:tc>
          <w:tcPr>
            <w:tcW w:w="158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83CEB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主力套餐</w:t>
            </w:r>
          </w:p>
        </w:tc>
      </w:tr>
      <w:tr w14:paraId="509DA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58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5E45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专业版月付</w:t>
            </w:r>
          </w:p>
        </w:tc>
        <w:tc>
          <w:tcPr>
            <w:tcW w:w="17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CE8A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29元</w:t>
            </w:r>
          </w:p>
        </w:tc>
        <w:tc>
          <w:tcPr>
            <w:tcW w:w="158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EE86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转化入口</w:t>
            </w:r>
          </w:p>
        </w:tc>
      </w:tr>
      <w:tr w14:paraId="016D8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58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DE68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机构多设备授权</w:t>
            </w:r>
          </w:p>
        </w:tc>
        <w:tc>
          <w:tcPr>
            <w:tcW w:w="17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1DB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199元/台/年</w:t>
            </w:r>
          </w:p>
        </w:tc>
        <w:tc>
          <w:tcPr>
            <w:tcW w:w="158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2717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无后台功能</w:t>
            </w:r>
          </w:p>
        </w:tc>
      </w:tr>
      <w:tr w14:paraId="6F52B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58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C461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API调用</w:t>
            </w:r>
          </w:p>
        </w:tc>
        <w:tc>
          <w:tcPr>
            <w:tcW w:w="17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B135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0.1元/次</w:t>
            </w:r>
          </w:p>
        </w:tc>
        <w:tc>
          <w:tcPr>
            <w:tcW w:w="158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9E9C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纯识谱能力</w:t>
            </w:r>
          </w:p>
        </w:tc>
      </w:tr>
      <w:tr w14:paraId="4E59C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58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E19C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数字乐谱社区</w:t>
            </w:r>
          </w:p>
        </w:tc>
        <w:tc>
          <w:tcPr>
            <w:tcW w:w="17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AB52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第1年不计收入</w:t>
            </w:r>
          </w:p>
        </w:tc>
        <w:tc>
          <w:tcPr>
            <w:tcW w:w="158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DA97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用户积累期</w:t>
            </w:r>
          </w:p>
        </w:tc>
      </w:tr>
    </w:tbl>
    <w:p w14:paraId="63146345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jc w:val="left"/>
      </w:pPr>
      <w:r>
        <w:rPr>
          <w:b/>
          <w:bCs/>
          <w:i w:val="0"/>
          <w:iCs w:val="0"/>
          <w:color w:val="0F1115"/>
          <w:spacing w:val="0"/>
          <w:w w:val="100"/>
          <w:sz w:val="28"/>
          <w:szCs w:val="28"/>
          <w:shd w:val="clear" w:fill="FFFFFF"/>
          <w:vertAlign w:val="baseline"/>
        </w:rPr>
        <w:t>用户增长假设（12个月）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1320"/>
        <w:gridCol w:w="1320"/>
        <w:gridCol w:w="1320"/>
        <w:gridCol w:w="1160"/>
      </w:tblGrid>
      <w:tr w14:paraId="4EC0B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CBCDD1" w:sz="2" w:space="0"/>
              <w:left w:val="single" w:color="CBCDD1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A1B5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阶段</w:t>
            </w:r>
          </w:p>
        </w:tc>
        <w:tc>
          <w:tcPr>
            <w:tcW w:w="132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B144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月付用户</w:t>
            </w:r>
          </w:p>
        </w:tc>
        <w:tc>
          <w:tcPr>
            <w:tcW w:w="132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E3D8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年付用户</w:t>
            </w:r>
          </w:p>
        </w:tc>
        <w:tc>
          <w:tcPr>
            <w:tcW w:w="132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CB75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机构设备数</w:t>
            </w:r>
          </w:p>
        </w:tc>
        <w:tc>
          <w:tcPr>
            <w:tcW w:w="116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6227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API调用量</w:t>
            </w:r>
          </w:p>
        </w:tc>
      </w:tr>
      <w:tr w14:paraId="0CD49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686868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143D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Q1</w:t>
            </w:r>
          </w:p>
        </w:tc>
        <w:tc>
          <w:tcPr>
            <w:tcW w:w="132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55F8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32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027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32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2C39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16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73A9B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</w:tr>
      <w:tr w14:paraId="64074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AE952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Q2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033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8B9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0ED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9772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</w:tr>
      <w:tr w14:paraId="3EAF3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F5DFC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Q3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6D909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B1C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905C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912F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500次</w:t>
            </w:r>
          </w:p>
        </w:tc>
      </w:tr>
      <w:tr w14:paraId="7740E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120B7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Q4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4F7D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A97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35C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B2266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2000次</w:t>
            </w:r>
          </w:p>
        </w:tc>
      </w:tr>
    </w:tbl>
    <w:p w14:paraId="4A9199C1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jc w:val="left"/>
      </w:pPr>
      <w:r>
        <w:rPr>
          <w:rFonts w:hint="default" w:ascii="quote-cjk-patch" w:hAnsi="quote-cjk-patch" w:eastAsia="quote-cjk-patch" w:cs="quote-cjk-patch"/>
          <w:b/>
          <w:bCs/>
          <w:i w:val="0"/>
          <w:iCs w:val="0"/>
          <w:color w:val="0F1115"/>
          <w:spacing w:val="0"/>
          <w:w w:val="100"/>
          <w:sz w:val="21"/>
          <w:szCs w:val="21"/>
          <w:shd w:val="clear" w:fill="FFFFFF"/>
          <w:vertAlign w:val="baseline"/>
        </w:rPr>
        <w:t>年度收入预测表（12个月）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3"/>
        <w:gridCol w:w="1016"/>
        <w:gridCol w:w="1016"/>
        <w:gridCol w:w="1016"/>
        <w:gridCol w:w="1016"/>
        <w:gridCol w:w="893"/>
      </w:tblGrid>
      <w:tr w14:paraId="45C6F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" w:hRule="atLeast"/>
        </w:trPr>
        <w:tc>
          <w:tcPr>
            <w:tcW w:w="893" w:type="dxa"/>
            <w:tcBorders>
              <w:top w:val="single" w:color="CBCDD1" w:sz="2" w:space="0"/>
              <w:left w:val="single" w:color="CBCDD1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894F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收入来源</w:t>
            </w:r>
          </w:p>
        </w:tc>
        <w:tc>
          <w:tcPr>
            <w:tcW w:w="1016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51B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1–3月</w:t>
            </w:r>
          </w:p>
        </w:tc>
        <w:tc>
          <w:tcPr>
            <w:tcW w:w="1016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36F1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4–6月</w:t>
            </w:r>
          </w:p>
        </w:tc>
        <w:tc>
          <w:tcPr>
            <w:tcW w:w="1016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5D5E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7–9月</w:t>
            </w:r>
          </w:p>
        </w:tc>
        <w:tc>
          <w:tcPr>
            <w:tcW w:w="1016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76F9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10–12月</w:t>
            </w:r>
          </w:p>
        </w:tc>
        <w:tc>
          <w:tcPr>
            <w:tcW w:w="893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4AF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年度合计</w:t>
            </w:r>
          </w:p>
        </w:tc>
      </w:tr>
      <w:tr w14:paraId="37EA9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93" w:type="dxa"/>
            <w:tcBorders>
              <w:top w:val="single" w:color="686868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2AEE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月付订阅（29元）</w:t>
            </w:r>
          </w:p>
        </w:tc>
        <w:tc>
          <w:tcPr>
            <w:tcW w:w="1016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71B7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016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2289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1740</w:t>
            </w:r>
          </w:p>
        </w:tc>
        <w:tc>
          <w:tcPr>
            <w:tcW w:w="1016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AC5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3480</w:t>
            </w:r>
          </w:p>
        </w:tc>
        <w:tc>
          <w:tcPr>
            <w:tcW w:w="1016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A94C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5220</w:t>
            </w:r>
          </w:p>
        </w:tc>
        <w:tc>
          <w:tcPr>
            <w:tcW w:w="893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7C049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10440</w:t>
            </w:r>
          </w:p>
        </w:tc>
      </w:tr>
      <w:tr w14:paraId="779D2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9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2082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年付订阅（199元）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DED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9226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995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34FB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2985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47B0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6965</w:t>
            </w:r>
          </w:p>
        </w:tc>
        <w:tc>
          <w:tcPr>
            <w:tcW w:w="89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7247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10945</w:t>
            </w:r>
          </w:p>
        </w:tc>
      </w:tr>
      <w:tr w14:paraId="25CB6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9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32257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机构授权（199元/台）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AE5F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57C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EAB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1592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77CE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2985</w:t>
            </w:r>
          </w:p>
        </w:tc>
        <w:tc>
          <w:tcPr>
            <w:tcW w:w="89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BBD4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4577</w:t>
            </w:r>
          </w:p>
        </w:tc>
      </w:tr>
      <w:tr w14:paraId="79732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9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44E5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API调用（0.1元/次）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24E2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25E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1B7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9722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200</w:t>
            </w:r>
          </w:p>
        </w:tc>
        <w:tc>
          <w:tcPr>
            <w:tcW w:w="89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131A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250</w:t>
            </w:r>
          </w:p>
        </w:tc>
      </w:tr>
      <w:tr w14:paraId="7CFB8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9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0A37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乐谱社区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9A9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BFED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B133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0534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89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BD3B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</w:tr>
      <w:tr w14:paraId="581FF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9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10FEC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季度收入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7F15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1F85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2735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B249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8107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F76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15370</w:t>
            </w:r>
          </w:p>
        </w:tc>
        <w:tc>
          <w:tcPr>
            <w:tcW w:w="89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9378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—</w:t>
            </w:r>
          </w:p>
        </w:tc>
      </w:tr>
      <w:tr w14:paraId="64BE2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89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2BB2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总收入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01AF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DAB54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2735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34256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8107</w:t>
            </w:r>
          </w:p>
        </w:tc>
        <w:tc>
          <w:tcPr>
            <w:tcW w:w="1016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E8A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15370</w:t>
            </w:r>
          </w:p>
        </w:tc>
        <w:tc>
          <w:tcPr>
            <w:tcW w:w="89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C2DB4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26212</w:t>
            </w:r>
          </w:p>
        </w:tc>
      </w:tr>
    </w:tbl>
    <w:p w14:paraId="5E9B1E46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</w:pPr>
      <w:r>
        <w:rPr>
          <w:rFonts w:hint="default" w:ascii="quote-cjk-patch" w:hAnsi="quote-cjk-patch" w:eastAsia="quote-cjk-patch" w:cs="quote-cjk-patch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74A0C10F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</w:pPr>
      <w:r>
        <w:rPr>
          <w:rFonts w:hint="default" w:ascii="quote-cjk-patch" w:hAnsi="quote-cjk-patch" w:eastAsia="quote-cjk-patch" w:cs="quote-cjk-patch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7.2、成本结构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3"/>
        <w:gridCol w:w="2324"/>
        <w:gridCol w:w="2043"/>
      </w:tblGrid>
      <w:tr w14:paraId="047C1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2" w:hRule="atLeast"/>
        </w:trPr>
        <w:tc>
          <w:tcPr>
            <w:tcW w:w="2043" w:type="dxa"/>
            <w:tcBorders>
              <w:top w:val="single" w:color="CBCDD1" w:sz="2" w:space="0"/>
              <w:left w:val="single" w:color="CBCDD1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40277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成本类别</w:t>
            </w:r>
          </w:p>
        </w:tc>
        <w:tc>
          <w:tcPr>
            <w:tcW w:w="2324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082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明细</w:t>
            </w:r>
          </w:p>
        </w:tc>
        <w:tc>
          <w:tcPr>
            <w:tcW w:w="2043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84AD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年度金额</w:t>
            </w:r>
          </w:p>
        </w:tc>
      </w:tr>
      <w:tr w14:paraId="4A78C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2" w:hRule="atLeast"/>
        </w:trPr>
        <w:tc>
          <w:tcPr>
            <w:tcW w:w="2043" w:type="dxa"/>
            <w:tcBorders>
              <w:top w:val="single" w:color="686868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A3F74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固定成本</w:t>
            </w:r>
          </w:p>
        </w:tc>
        <w:tc>
          <w:tcPr>
            <w:tcW w:w="2324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1C0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服务器、域名、SSL、OSS存储</w:t>
            </w:r>
          </w:p>
        </w:tc>
        <w:tc>
          <w:tcPr>
            <w:tcW w:w="2043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9140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2400</w:t>
            </w:r>
          </w:p>
        </w:tc>
      </w:tr>
      <w:tr w14:paraId="346D2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204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8F43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研发成本</w:t>
            </w:r>
          </w:p>
        </w:tc>
        <w:tc>
          <w:tcPr>
            <w:tcW w:w="2324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5E5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开发工具、测试设备、API调试</w:t>
            </w:r>
          </w:p>
        </w:tc>
        <w:tc>
          <w:tcPr>
            <w:tcW w:w="204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2482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2000</w:t>
            </w:r>
          </w:p>
        </w:tc>
      </w:tr>
      <w:tr w14:paraId="6FD0D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204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8DC1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运营成本</w:t>
            </w:r>
          </w:p>
        </w:tc>
        <w:tc>
          <w:tcPr>
            <w:tcW w:w="2324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5C8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社群维护、B站UP主合作（1-2个小UP实测）、素材</w:t>
            </w:r>
          </w:p>
        </w:tc>
        <w:tc>
          <w:tcPr>
            <w:tcW w:w="204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D8D6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4000</w:t>
            </w:r>
          </w:p>
        </w:tc>
      </w:tr>
      <w:tr w14:paraId="1A005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204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3BD1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团队成本</w:t>
            </w:r>
          </w:p>
        </w:tc>
        <w:tc>
          <w:tcPr>
            <w:tcW w:w="2324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5767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基础补贴、交通、文档协作</w:t>
            </w:r>
          </w:p>
        </w:tc>
        <w:tc>
          <w:tcPr>
            <w:tcW w:w="204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D1817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10000</w:t>
            </w:r>
          </w:p>
        </w:tc>
      </w:tr>
      <w:tr w14:paraId="08502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204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3D5D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支付手续费</w:t>
            </w:r>
          </w:p>
        </w:tc>
        <w:tc>
          <w:tcPr>
            <w:tcW w:w="2324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C4A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微信/支付宝 0.6%</w:t>
            </w:r>
          </w:p>
        </w:tc>
        <w:tc>
          <w:tcPr>
            <w:tcW w:w="204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F636F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160</w:t>
            </w:r>
          </w:p>
        </w:tc>
      </w:tr>
      <w:tr w14:paraId="1F76C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204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DB56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不可预见费</w:t>
            </w:r>
          </w:p>
        </w:tc>
        <w:tc>
          <w:tcPr>
            <w:tcW w:w="2324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DFB4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浮动支出（5%）</w:t>
            </w:r>
          </w:p>
        </w:tc>
        <w:tc>
          <w:tcPr>
            <w:tcW w:w="204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0CB1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900</w:t>
            </w:r>
          </w:p>
        </w:tc>
      </w:tr>
      <w:tr w14:paraId="149A8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204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E5E3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年度总成本</w:t>
            </w:r>
          </w:p>
        </w:tc>
        <w:tc>
          <w:tcPr>
            <w:tcW w:w="2324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1856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204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5CEE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19460</w:t>
            </w:r>
          </w:p>
        </w:tc>
      </w:tr>
      <w:tr w14:paraId="059F4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2043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E54B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月均成本</w:t>
            </w:r>
          </w:p>
        </w:tc>
        <w:tc>
          <w:tcPr>
            <w:tcW w:w="2324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4472F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2043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33789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1622 ≈ 1650</w:t>
            </w:r>
          </w:p>
        </w:tc>
      </w:tr>
    </w:tbl>
    <w:p w14:paraId="651D8B4E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9123FDB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</w:pPr>
      <w:r>
        <w:rPr>
          <w:rFonts w:hint="default" w:ascii="quote-cjk-patch" w:hAnsi="quote-cjk-patch" w:eastAsia="quote-cjk-patch" w:cs="quote-cjk-patch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7.3、现金流量表（与成本联动）</w:t>
      </w:r>
    </w:p>
    <w:p w14:paraId="4937593E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rFonts w:hint="default" w:ascii="quote-cjk-patch" w:hAnsi="quote-cjk-patch" w:eastAsia="quote-cjk-patch" w:cs="quote-cjk-patch"/>
          <w:b w:val="0"/>
          <w:bCs w:val="0"/>
          <w:i w:val="0"/>
          <w:iCs w:val="0"/>
          <w:color w:val="0F1115"/>
          <w:spacing w:val="0"/>
          <w:w w:val="100"/>
          <w:sz w:val="21"/>
          <w:szCs w:val="21"/>
          <w:shd w:val="clear" w:fill="FFFFFF"/>
          <w:vertAlign w:val="baseline"/>
        </w:rPr>
        <w:t>假设：</w:t>
      </w:r>
    </w:p>
    <w:p w14:paraId="66D09697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240" w:beforeAutospacing="0" w:after="240" w:afterAutospacing="0"/>
        <w:ind w:left="0" w:right="0"/>
        <w:jc w:val="left"/>
      </w:pPr>
      <w:r>
        <w:rPr>
          <w:rFonts w:hint="default" w:ascii="quote-cjk-patch" w:hAnsi="quote-cjk-patch" w:eastAsia="quote-cjk-patch" w:cs="quote-cjk-patch"/>
          <w:b w:val="0"/>
          <w:bCs w:val="0"/>
          <w:i w:val="0"/>
          <w:iCs w:val="0"/>
          <w:color w:val="0F1115"/>
          <w:spacing w:val="0"/>
          <w:w w:val="100"/>
          <w:sz w:val="21"/>
          <w:szCs w:val="21"/>
          <w:shd w:val="clear" w:fill="FFFFFF"/>
          <w:vertAlign w:val="baseline"/>
        </w:rPr>
        <w:t>1–3月：月支出 1400（纯研发，无运营）</w:t>
      </w:r>
    </w:p>
    <w:p w14:paraId="07FF4096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240" w:afterAutospacing="0"/>
        <w:ind w:left="0" w:right="0"/>
        <w:jc w:val="left"/>
      </w:pPr>
      <w:r>
        <w:rPr>
          <w:rFonts w:hint="default" w:ascii="quote-cjk-patch" w:hAnsi="quote-cjk-patch" w:eastAsia="quote-cjk-patch" w:cs="quote-cjk-patch"/>
          <w:b w:val="0"/>
          <w:bCs w:val="0"/>
          <w:i w:val="0"/>
          <w:iCs w:val="0"/>
          <w:color w:val="0F1115"/>
          <w:spacing w:val="0"/>
          <w:w w:val="100"/>
          <w:sz w:val="21"/>
          <w:szCs w:val="21"/>
          <w:shd w:val="clear" w:fill="FFFFFF"/>
          <w:vertAlign w:val="baseline"/>
        </w:rPr>
        <w:t>4–6月：月支出 1650</w:t>
      </w:r>
    </w:p>
    <w:p w14:paraId="2A59D296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240" w:afterAutospacing="0"/>
        <w:ind w:left="0" w:right="0"/>
        <w:jc w:val="left"/>
      </w:pPr>
      <w:r>
        <w:rPr>
          <w:rFonts w:hint="default" w:ascii="quote-cjk-patch" w:hAnsi="quote-cjk-patch" w:eastAsia="quote-cjk-patch" w:cs="quote-cjk-patch"/>
          <w:b w:val="0"/>
          <w:bCs w:val="0"/>
          <w:i w:val="0"/>
          <w:iCs w:val="0"/>
          <w:color w:val="0F1115"/>
          <w:spacing w:val="0"/>
          <w:w w:val="100"/>
          <w:sz w:val="21"/>
          <w:szCs w:val="21"/>
          <w:shd w:val="clear" w:fill="FFFFFF"/>
          <w:vertAlign w:val="baseline"/>
        </w:rPr>
        <w:t>7–12月：月支出 1800（用户增长后运维略增）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1320"/>
        <w:gridCol w:w="1320"/>
        <w:gridCol w:w="1320"/>
        <w:gridCol w:w="1160"/>
      </w:tblGrid>
      <w:tr w14:paraId="66CD8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CBCDD1" w:sz="2" w:space="0"/>
              <w:left w:val="single" w:color="CBCDD1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E2CA8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阶段</w:t>
            </w:r>
          </w:p>
        </w:tc>
        <w:tc>
          <w:tcPr>
            <w:tcW w:w="132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7F9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月均收入</w:t>
            </w:r>
          </w:p>
        </w:tc>
        <w:tc>
          <w:tcPr>
            <w:tcW w:w="132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053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月均支出</w:t>
            </w:r>
          </w:p>
        </w:tc>
        <w:tc>
          <w:tcPr>
            <w:tcW w:w="132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5E5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月净现金流</w:t>
            </w:r>
          </w:p>
        </w:tc>
        <w:tc>
          <w:tcPr>
            <w:tcW w:w="116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3AD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累计现金流</w:t>
            </w:r>
          </w:p>
        </w:tc>
      </w:tr>
      <w:tr w14:paraId="6C7F1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686868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CE5A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1–3月</w:t>
            </w:r>
          </w:p>
        </w:tc>
        <w:tc>
          <w:tcPr>
            <w:tcW w:w="132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4BD7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32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E270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1400</w:t>
            </w:r>
          </w:p>
        </w:tc>
        <w:tc>
          <w:tcPr>
            <w:tcW w:w="132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8F00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-1400</w:t>
            </w:r>
          </w:p>
        </w:tc>
        <w:tc>
          <w:tcPr>
            <w:tcW w:w="116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45EEC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-4200</w:t>
            </w:r>
          </w:p>
        </w:tc>
      </w:tr>
      <w:tr w14:paraId="32E06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4041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4–6月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3C5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912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601B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1650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06D8D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-738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A8FA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-6414</w:t>
            </w:r>
          </w:p>
        </w:tc>
      </w:tr>
      <w:tr w14:paraId="53FCA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ECCD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7–9月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C94F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2702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300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1800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EE0E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+902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758DF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-3708</w:t>
            </w:r>
          </w:p>
        </w:tc>
      </w:tr>
      <w:tr w14:paraId="74F41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C163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10–12月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CE4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5123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5CB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1800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65D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+3323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3ADD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+6261</w:t>
            </w:r>
          </w:p>
        </w:tc>
      </w:tr>
    </w:tbl>
    <w:p w14:paraId="7C530524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</w:pPr>
      <w:r>
        <w:rPr>
          <w:rFonts w:hint="default" w:ascii="quote-cjk-patch" w:hAnsi="quote-cjk-patch" w:eastAsia="quote-cjk-patch" w:cs="quote-cjk-patch"/>
          <w:b/>
          <w:bCs/>
          <w:i w:val="0"/>
          <w:iCs w:val="0"/>
          <w:color w:val="0F1115"/>
          <w:spacing w:val="0"/>
          <w:w w:val="100"/>
          <w:sz w:val="24"/>
          <w:szCs w:val="24"/>
          <w:shd w:val="clear" w:fill="FFFFFF"/>
          <w:vertAlign w:val="baseline"/>
        </w:rPr>
        <w:t>7.4、BP财务汇总表</w:t>
      </w:r>
    </w:p>
    <w:p w14:paraId="53A457DC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jc w:val="left"/>
      </w:pPr>
      <w:r>
        <w:rPr>
          <w:rFonts w:hint="default" w:ascii="quote-cjk-patch" w:hAnsi="quote-cjk-patch" w:eastAsia="quote-cjk-patch" w:cs="quote-cjk-patch"/>
          <w:b/>
          <w:bCs/>
          <w:i w:val="0"/>
          <w:iCs w:val="0"/>
          <w:color w:val="0F1115"/>
          <w:spacing w:val="0"/>
          <w:w w:val="100"/>
          <w:sz w:val="21"/>
          <w:szCs w:val="21"/>
          <w:shd w:val="clear" w:fill="FFFFFF"/>
          <w:vertAlign w:val="baseline"/>
        </w:rPr>
        <w:t>年度财务总览（12个月）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5"/>
        <w:gridCol w:w="3415"/>
      </w:tblGrid>
      <w:tr w14:paraId="1C6E1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65" w:hRule="atLeast"/>
        </w:trPr>
        <w:tc>
          <w:tcPr>
            <w:tcW w:w="3415" w:type="dxa"/>
            <w:tcBorders>
              <w:top w:val="single" w:color="CBCDD1" w:sz="2" w:space="0"/>
              <w:left w:val="single" w:color="CBCDD1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5F78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项目</w:t>
            </w:r>
          </w:p>
        </w:tc>
        <w:tc>
          <w:tcPr>
            <w:tcW w:w="3415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30C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金额</w:t>
            </w:r>
          </w:p>
        </w:tc>
      </w:tr>
      <w:tr w14:paraId="3E72A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</w:trPr>
        <w:tc>
          <w:tcPr>
            <w:tcW w:w="3415" w:type="dxa"/>
            <w:tcBorders>
              <w:top w:val="single" w:color="686868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7750E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总收入</w:t>
            </w:r>
          </w:p>
        </w:tc>
        <w:tc>
          <w:tcPr>
            <w:tcW w:w="3415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4521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26,212 元</w:t>
            </w:r>
          </w:p>
        </w:tc>
      </w:tr>
      <w:tr w14:paraId="44B91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</w:trPr>
        <w:tc>
          <w:tcPr>
            <w:tcW w:w="3415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0694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总成本</w:t>
            </w:r>
          </w:p>
        </w:tc>
        <w:tc>
          <w:tcPr>
            <w:tcW w:w="3415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7DB5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19,460 元</w:t>
            </w:r>
          </w:p>
        </w:tc>
      </w:tr>
      <w:tr w14:paraId="75A25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</w:trPr>
        <w:tc>
          <w:tcPr>
            <w:tcW w:w="3415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6F96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净利润</w:t>
            </w:r>
          </w:p>
        </w:tc>
        <w:tc>
          <w:tcPr>
            <w:tcW w:w="3415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6BAF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6,752 元</w:t>
            </w:r>
          </w:p>
        </w:tc>
      </w:tr>
      <w:tr w14:paraId="00685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</w:trPr>
        <w:tc>
          <w:tcPr>
            <w:tcW w:w="3415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01C0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净利率</w:t>
            </w:r>
          </w:p>
        </w:tc>
        <w:tc>
          <w:tcPr>
            <w:tcW w:w="3415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AAF19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≈ 26%</w:t>
            </w:r>
          </w:p>
        </w:tc>
      </w:tr>
      <w:tr w14:paraId="4D6E3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</w:trPr>
        <w:tc>
          <w:tcPr>
            <w:tcW w:w="3415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BC8C4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累计现金流（年末）</w:t>
            </w:r>
          </w:p>
        </w:tc>
        <w:tc>
          <w:tcPr>
            <w:tcW w:w="3415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018E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6,261 元</w:t>
            </w:r>
          </w:p>
        </w:tc>
      </w:tr>
      <w:tr w14:paraId="0A1F8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</w:trPr>
        <w:tc>
          <w:tcPr>
            <w:tcW w:w="3415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C46B6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现金流转正月份</w:t>
            </w:r>
          </w:p>
        </w:tc>
        <w:tc>
          <w:tcPr>
            <w:tcW w:w="3415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2FC8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第 10 个月</w:t>
            </w:r>
          </w:p>
        </w:tc>
      </w:tr>
    </w:tbl>
    <w:p w14:paraId="36A67603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jc w:val="left"/>
      </w:pPr>
      <w:r>
        <w:rPr>
          <w:rFonts w:hint="default" w:ascii="quote-cjk-patch" w:hAnsi="quote-cjk-patch" w:eastAsia="quote-cjk-patch" w:cs="quote-cjk-patch"/>
          <w:b/>
          <w:bCs/>
          <w:i w:val="0"/>
          <w:iCs w:val="0"/>
          <w:color w:val="0F1115"/>
          <w:spacing w:val="0"/>
          <w:w w:val="100"/>
          <w:sz w:val="21"/>
          <w:szCs w:val="21"/>
          <w:shd w:val="clear" w:fill="FFFFFF"/>
          <w:vertAlign w:val="baseline"/>
        </w:rPr>
        <w:t>月度财务趋势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1320"/>
        <w:gridCol w:w="1320"/>
        <w:gridCol w:w="1160"/>
      </w:tblGrid>
      <w:tr w14:paraId="2023D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CBCDD1" w:sz="2" w:space="0"/>
              <w:left w:val="single" w:color="CBCDD1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B89F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阶段</w:t>
            </w:r>
          </w:p>
        </w:tc>
        <w:tc>
          <w:tcPr>
            <w:tcW w:w="132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94DE7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月均收入</w:t>
            </w:r>
          </w:p>
        </w:tc>
        <w:tc>
          <w:tcPr>
            <w:tcW w:w="132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9D197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月均支出</w:t>
            </w:r>
          </w:p>
        </w:tc>
        <w:tc>
          <w:tcPr>
            <w:tcW w:w="1160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FF782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月均利润</w:t>
            </w:r>
          </w:p>
        </w:tc>
      </w:tr>
      <w:tr w14:paraId="7FD64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686868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3D8F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Q1（研发期）</w:t>
            </w:r>
          </w:p>
        </w:tc>
        <w:tc>
          <w:tcPr>
            <w:tcW w:w="132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5333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132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8A9A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1400</w:t>
            </w:r>
          </w:p>
        </w:tc>
        <w:tc>
          <w:tcPr>
            <w:tcW w:w="1160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7CE3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-1400</w:t>
            </w:r>
          </w:p>
        </w:tc>
      </w:tr>
      <w:tr w14:paraId="0A060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67C3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Q2（起步期）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F9C1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912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914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1650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282A6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-738</w:t>
            </w:r>
          </w:p>
        </w:tc>
      </w:tr>
      <w:tr w14:paraId="403EF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8F10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Q3（增长期）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6BE0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2702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B687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1800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3923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+902</w:t>
            </w:r>
          </w:p>
        </w:tc>
      </w:tr>
      <w:tr w14:paraId="1D392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7892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Q4（盈利期）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A7D3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5123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44C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1800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C7DC8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+3323</w:t>
            </w:r>
          </w:p>
        </w:tc>
      </w:tr>
    </w:tbl>
    <w:p w14:paraId="5CA54CB7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jc w:val="left"/>
      </w:pPr>
      <w:r>
        <w:rPr>
          <w:rFonts w:hint="default" w:ascii="quote-cjk-patch" w:hAnsi="quote-cjk-patch" w:eastAsia="quote-cjk-patch" w:cs="quote-cjk-patch"/>
          <w:b/>
          <w:bCs/>
          <w:i w:val="0"/>
          <w:iCs w:val="0"/>
          <w:color w:val="0F1115"/>
          <w:spacing w:val="0"/>
          <w:w w:val="100"/>
          <w:sz w:val="21"/>
          <w:szCs w:val="21"/>
          <w:shd w:val="clear" w:fill="FFFFFF"/>
          <w:vertAlign w:val="baseline"/>
        </w:rPr>
        <w:t>收入构成（饼图文字版）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2429"/>
        <w:gridCol w:w="2135"/>
      </w:tblGrid>
      <w:tr w14:paraId="3CD2E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739" w:hRule="atLeast"/>
        </w:trPr>
        <w:tc>
          <w:tcPr>
            <w:tcW w:w="2135" w:type="dxa"/>
            <w:tcBorders>
              <w:top w:val="single" w:color="CBCDD1" w:sz="2" w:space="0"/>
              <w:left w:val="single" w:color="CBCDD1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467E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收入类型</w:t>
            </w:r>
          </w:p>
        </w:tc>
        <w:tc>
          <w:tcPr>
            <w:tcW w:w="2429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1F02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金额</w:t>
            </w:r>
          </w:p>
        </w:tc>
        <w:tc>
          <w:tcPr>
            <w:tcW w:w="2135" w:type="dxa"/>
            <w:tcBorders>
              <w:top w:val="single" w:color="CBCDD1" w:sz="2" w:space="0"/>
              <w:left w:val="single" w:color="000000" w:sz="2" w:space="0"/>
              <w:bottom w:val="single" w:color="686868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9576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占比</w:t>
            </w:r>
          </w:p>
        </w:tc>
      </w:tr>
      <w:tr w14:paraId="30973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3" w:hRule="atLeast"/>
        </w:trPr>
        <w:tc>
          <w:tcPr>
            <w:tcW w:w="2135" w:type="dxa"/>
            <w:tcBorders>
              <w:top w:val="single" w:color="686868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2B98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个人订阅（月付+年付）</w:t>
            </w:r>
          </w:p>
        </w:tc>
        <w:tc>
          <w:tcPr>
            <w:tcW w:w="2429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2A8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21385</w:t>
            </w:r>
          </w:p>
        </w:tc>
        <w:tc>
          <w:tcPr>
            <w:tcW w:w="2135" w:type="dxa"/>
            <w:tcBorders>
              <w:top w:val="single" w:color="686868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5D53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81.6%</w:t>
            </w:r>
          </w:p>
        </w:tc>
      </w:tr>
      <w:tr w14:paraId="41E84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3" w:hRule="atLeast"/>
        </w:trPr>
        <w:tc>
          <w:tcPr>
            <w:tcW w:w="2135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E4E6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机构多设备授权</w:t>
            </w:r>
          </w:p>
        </w:tc>
        <w:tc>
          <w:tcPr>
            <w:tcW w:w="2429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FC8A3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4577</w:t>
            </w:r>
          </w:p>
        </w:tc>
        <w:tc>
          <w:tcPr>
            <w:tcW w:w="2135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2835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17.5%</w:t>
            </w:r>
          </w:p>
        </w:tc>
      </w:tr>
      <w:tr w14:paraId="38C47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3" w:hRule="atLeast"/>
        </w:trPr>
        <w:tc>
          <w:tcPr>
            <w:tcW w:w="2135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531F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API调用</w:t>
            </w:r>
          </w:p>
        </w:tc>
        <w:tc>
          <w:tcPr>
            <w:tcW w:w="2429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D3C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250</w:t>
            </w:r>
          </w:p>
        </w:tc>
        <w:tc>
          <w:tcPr>
            <w:tcW w:w="2135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52D1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0.9%</w:t>
            </w:r>
          </w:p>
        </w:tc>
      </w:tr>
      <w:tr w14:paraId="369C7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3" w:hRule="atLeast"/>
        </w:trPr>
        <w:tc>
          <w:tcPr>
            <w:tcW w:w="2135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3A53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乐谱社区</w:t>
            </w:r>
          </w:p>
        </w:tc>
        <w:tc>
          <w:tcPr>
            <w:tcW w:w="2429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9A9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2135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CBCDD1" w:sz="2" w:space="0"/>
            </w:tcBorders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98DC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jc w:val="left"/>
            </w:pPr>
            <w:r>
              <w:rPr>
                <w:rFonts w:hint="default" w:ascii="quote-cjk-patch" w:hAnsi="quote-cjk-patch" w:eastAsia="quote-cjk-patch" w:cs="quote-cjk-patch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0%</w:t>
            </w:r>
          </w:p>
        </w:tc>
      </w:tr>
    </w:tbl>
    <w:p w14:paraId="7493A03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Optima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quote-cjk-patc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BF2005"/>
    <w:multiLevelType w:val="multilevel"/>
    <w:tmpl w:val="B3BF2005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BED22AB4"/>
    <w:multiLevelType w:val="multilevel"/>
    <w:tmpl w:val="BED22AB4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">
    <w:nsid w:val="EBB6A877"/>
    <w:multiLevelType w:val="multilevel"/>
    <w:tmpl w:val="EBB6A877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3">
    <w:nsid w:val="F382A979"/>
    <w:multiLevelType w:val="multilevel"/>
    <w:tmpl w:val="F382A979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4">
    <w:nsid w:val="F980313F"/>
    <w:multiLevelType w:val="multilevel"/>
    <w:tmpl w:val="F980313F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5">
    <w:nsid w:val="FE343EB0"/>
    <w:multiLevelType w:val="multilevel"/>
    <w:tmpl w:val="FE343EB0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6">
    <w:nsid w:val="3DF0BE2E"/>
    <w:multiLevelType w:val="multilevel"/>
    <w:tmpl w:val="3DF0BE2E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7">
    <w:nsid w:val="6BD4832C"/>
    <w:multiLevelType w:val="multilevel"/>
    <w:tmpl w:val="6BD4832C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5432F0"/>
    <w:rsid w:val="1E54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2026-05-28T05:45:00Z</dcterms:created>
  <dc:creator>蒋柏香0319</dc:creator>
  <cp:lastModifiedBy>蒋柏香0319</cp:lastModifiedBy>
  <dcterms:modified xsi:type="dcterms:W3CDTF">2026-05-28T05:47:40Z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0A0BFB5A709B4752B6799CC20D1E5184_11</vt:lpwstr>
  </property>
  <property fmtid="{D5CDD505-2E9C-101B-9397-08002B2CF9AE}" pid="4" name="KSOTemplateDocerSaveRecord">
    <vt:lpwstr>eyJoZGlkIjoiZTRkNWM0YjIxN2Q3ZmQ4NjMzYWYzYzE1ZTI4NjMzMzMiLCJ1c2VySWQiOiIxODIzNjk3MTk1In0=</vt:lpwstr>
  </property>
</Properties>
</file>