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Budget Justification</w:t>
      </w:r>
      <w:r w:rsidDel="00000000" w:rsidR="00000000" w:rsidRPr="00000000">
        <w:rPr>
          <w:rtl w:val="0"/>
        </w:rPr>
      </w:r>
    </w:p>
    <w:p w:rsidR="00000000" w:rsidDel="00000000" w:rsidP="00000000" w:rsidRDefault="00000000" w:rsidRPr="00000000" w14:paraId="00000002">
      <w:pPr>
        <w:pageBreakBefore w:val="0"/>
        <w:spacing w:line="276"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color w:val="444444"/>
          <w:sz w:val="20"/>
          <w:szCs w:val="20"/>
          <w:highlight w:val="white"/>
        </w:rPr>
      </w:pPr>
      <w:r w:rsidDel="00000000" w:rsidR="00000000" w:rsidRPr="00000000">
        <w:rPr>
          <w:b w:val="1"/>
          <w:sz w:val="20"/>
          <w:szCs w:val="20"/>
          <w:rtl w:val="0"/>
        </w:rPr>
        <w:t xml:space="preserve">Content:</w:t>
      </w:r>
      <w:r w:rsidDel="00000000" w:rsidR="00000000" w:rsidRPr="00000000">
        <w:rPr>
          <w:sz w:val="20"/>
          <w:szCs w:val="20"/>
          <w:rtl w:val="0"/>
        </w:rPr>
        <w:t xml:space="preserve"> Use the Budget Justification to provide the additional information requested in each budget category identified above and any other information the applicant wishes to submit to support the budget request. If you have a quote(s), you may include it here. The following budget categories must be justified, where applicable: equipment, travel, participant/trainee support, and other direct cost categories. In addition to the justifications described in the above sections, also include a justification for any significant increases or decreases from the initial budget period. Justify budgets with more than a standard escalation from the initial to the future year(s) of support. Also use the Budget Justification to explain any exclusions applied to the F&amp;A base calculation. If your application includes a subaward/consortium budget, a separate Budget Justification must be submitted. See R.310 - R&amp;R Subaward Budget Attachment(s) Form.</w:t>
      </w:r>
      <w:r w:rsidDel="00000000" w:rsidR="00000000" w:rsidRPr="00000000">
        <w:rPr>
          <w:rtl w:val="0"/>
        </w:rPr>
      </w:r>
    </w:p>
    <w:p w:rsidR="00000000" w:rsidDel="00000000" w:rsidP="00000000" w:rsidRDefault="00000000" w:rsidRPr="00000000" w14:paraId="00000009">
      <w:pPr>
        <w:pageBreakBefore w:val="0"/>
        <w:spacing w:line="276" w:lineRule="auto"/>
        <w:rPr>
          <w:color w:val="444444"/>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0B">
      <w:pPr>
        <w:pageBreakBefore w:val="0"/>
        <w:spacing w:line="240" w:lineRule="auto"/>
        <w:jc w:val="both"/>
        <w:rPr>
          <w:b w:val="1"/>
        </w:rPr>
      </w:pPr>
      <w:r w:rsidDel="00000000" w:rsidR="00000000" w:rsidRPr="00000000">
        <w:rPr>
          <w:b w:val="1"/>
          <w:rtl w:val="0"/>
        </w:rPr>
        <w:t xml:space="preserve">MATERIALS AND SUPPLIES</w:t>
      </w:r>
    </w:p>
    <w:p w:rsidR="00000000" w:rsidDel="00000000" w:rsidP="00000000" w:rsidRDefault="00000000" w:rsidRPr="00000000" w14:paraId="0000000C">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0D">
      <w:pPr>
        <w:pageBreakBefore w:val="0"/>
        <w:spacing w:line="240" w:lineRule="auto"/>
        <w:jc w:val="both"/>
        <w:rPr>
          <w:rFonts w:ascii="Cambria" w:cs="Cambria" w:eastAsia="Cambria" w:hAnsi="Cambria"/>
          <w:sz w:val="24"/>
          <w:szCs w:val="24"/>
        </w:rPr>
      </w:pPr>
      <w:r w:rsidDel="00000000" w:rsidR="00000000" w:rsidRPr="00000000">
        <w:rPr>
          <w:b w:val="1"/>
          <w:rtl w:val="0"/>
        </w:rPr>
        <w:t xml:space="preserve">Computational Costs</w:t>
      </w:r>
      <w:r w:rsidDel="00000000" w:rsidR="00000000" w:rsidRPr="00000000">
        <w:rPr>
          <w:rtl w:val="0"/>
        </w:rPr>
      </w:r>
    </w:p>
    <w:p w:rsidR="00000000" w:rsidDel="00000000" w:rsidP="00000000" w:rsidRDefault="00000000" w:rsidRPr="00000000" w14:paraId="0000000E">
      <w:pPr>
        <w:pageBreakBefore w:val="0"/>
        <w:spacing w:line="240" w:lineRule="auto"/>
        <w:jc w:val="both"/>
        <w:rPr/>
      </w:pPr>
      <w:r w:rsidDel="00000000" w:rsidR="00000000" w:rsidRPr="00000000">
        <w:rPr>
          <w:rtl w:val="0"/>
        </w:rPr>
        <w:t xml:space="preserve">We request $4,000 to buy 20 Chromebooks/Android tablets ($200/device) to provide input devices for the </w:t>
      </w:r>
      <w:r w:rsidDel="00000000" w:rsidR="00000000" w:rsidRPr="00000000">
        <w:rPr>
          <w:i w:val="1"/>
          <w:rtl w:val="0"/>
        </w:rPr>
        <w:t xml:space="preserve">DengueData</w:t>
      </w:r>
      <w:r w:rsidDel="00000000" w:rsidR="00000000" w:rsidRPr="00000000">
        <w:rPr>
          <w:rtl w:val="0"/>
        </w:rPr>
        <w:t xml:space="preserve"> system across HEU Health surveillance department, UNAH laboratories, and CLIPERs. </w:t>
      </w:r>
    </w:p>
    <w:p w:rsidR="00000000" w:rsidDel="00000000" w:rsidP="00000000" w:rsidRDefault="00000000" w:rsidRPr="00000000" w14:paraId="0000000F">
      <w:pPr>
        <w:pageBreakBefore w:val="0"/>
        <w:spacing w:line="240" w:lineRule="auto"/>
        <w:jc w:val="both"/>
        <w:rPr/>
      </w:pPr>
      <w:r w:rsidDel="00000000" w:rsidR="00000000" w:rsidRPr="00000000">
        <w:rPr>
          <w:rtl w:val="0"/>
        </w:rPr>
        <w:t xml:space="preserve">We anticipate spending $2,000 for DHIS2 hosting services during the the first three years after deployment, at a rate of $50/month (https://www.knowarth.com/cloud-hosting-services-dhis2/)</w:t>
      </w:r>
    </w:p>
    <w:p w:rsidR="00000000" w:rsidDel="00000000" w:rsidP="00000000" w:rsidRDefault="00000000" w:rsidRPr="00000000" w14:paraId="00000010">
      <w:pPr>
        <w:pageBreakBefore w:val="0"/>
        <w:spacing w:line="240" w:lineRule="auto"/>
        <w:jc w:val="both"/>
        <w:rPr/>
      </w:pPr>
      <w:r w:rsidDel="00000000" w:rsidR="00000000" w:rsidRPr="00000000">
        <w:rPr>
          <w:rtl w:val="0"/>
        </w:rPr>
      </w:r>
    </w:p>
    <w:p w:rsidR="00000000" w:rsidDel="00000000" w:rsidP="00000000" w:rsidRDefault="00000000" w:rsidRPr="00000000" w14:paraId="00000011">
      <w:pPr>
        <w:pageBreakBefore w:val="0"/>
        <w:spacing w:line="240" w:lineRule="auto"/>
        <w:jc w:val="both"/>
        <w:rPr>
          <w:b w:val="1"/>
        </w:rPr>
      </w:pPr>
      <w:r w:rsidDel="00000000" w:rsidR="00000000" w:rsidRPr="00000000">
        <w:rPr>
          <w:b w:val="1"/>
          <w:rtl w:val="0"/>
        </w:rPr>
        <w:t xml:space="preserve">OTHER</w:t>
      </w:r>
    </w:p>
    <w:p w:rsidR="00000000" w:rsidDel="00000000" w:rsidP="00000000" w:rsidRDefault="00000000" w:rsidRPr="00000000" w14:paraId="00000012">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13">
      <w:pPr>
        <w:pageBreakBefore w:val="0"/>
        <w:spacing w:line="240" w:lineRule="auto"/>
        <w:jc w:val="both"/>
        <w:rPr>
          <w:rFonts w:ascii="Cambria" w:cs="Cambria" w:eastAsia="Cambria" w:hAnsi="Cambria"/>
          <w:sz w:val="24"/>
          <w:szCs w:val="24"/>
        </w:rPr>
      </w:pPr>
      <w:r w:rsidDel="00000000" w:rsidR="00000000" w:rsidRPr="00000000">
        <w:rPr>
          <w:b w:val="1"/>
          <w:rtl w:val="0"/>
        </w:rPr>
        <w:t xml:space="preserve">Technical Research Computing</w:t>
      </w:r>
      <w:r w:rsidDel="00000000" w:rsidR="00000000" w:rsidRPr="00000000">
        <w:rPr>
          <w:rtl w:val="0"/>
        </w:rPr>
      </w:r>
    </w:p>
    <w:p w:rsidR="00000000" w:rsidDel="00000000" w:rsidP="00000000" w:rsidRDefault="00000000" w:rsidRPr="00000000" w14:paraId="00000014">
      <w:pPr>
        <w:pageBreakBefore w:val="0"/>
        <w:spacing w:line="240" w:lineRule="auto"/>
        <w:jc w:val="both"/>
        <w:rPr>
          <w:b w:val="1"/>
        </w:rPr>
      </w:pPr>
      <w:r w:rsidDel="00000000" w:rsidR="00000000" w:rsidRPr="00000000">
        <w:rPr>
          <w:rtl w:val="0"/>
        </w:rPr>
        <w:t xml:space="preserve">This is a direct charge for technical research computing. This supports all core infrastructure computing systems and services required by research staff at the Broad Institute, charged at a rate of $2,400 per on-site FTE per year</w:t>
      </w:r>
      <w:r w:rsidDel="00000000" w:rsidR="00000000" w:rsidRPr="00000000">
        <w:rPr>
          <w:rtl w:val="0"/>
        </w:rPr>
        <w:t xml:space="preserve">. $2,400</w:t>
      </w:r>
      <w:r w:rsidDel="00000000" w:rsidR="00000000" w:rsidRPr="00000000">
        <w:rPr>
          <w:rtl w:val="0"/>
        </w:rPr>
        <w:t xml:space="preserve"> in year 1 ($4,800 across all two years) has been budgeted for Technical Research Computing.</w:t>
      </w:r>
      <w:r w:rsidDel="00000000" w:rsidR="00000000" w:rsidRPr="00000000">
        <w:rPr>
          <w:rtl w:val="0"/>
        </w:rPr>
      </w:r>
    </w:p>
    <w:p w:rsidR="00000000" w:rsidDel="00000000" w:rsidP="00000000" w:rsidRDefault="00000000" w:rsidRPr="00000000" w14:paraId="00000015">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16">
      <w:pPr>
        <w:pageBreakBefore w:val="0"/>
        <w:spacing w:line="240" w:lineRule="auto"/>
        <w:jc w:val="both"/>
        <w:rPr>
          <w:b w:val="1"/>
        </w:rPr>
      </w:pPr>
      <w:r w:rsidDel="00000000" w:rsidR="00000000" w:rsidRPr="00000000">
        <w:rPr>
          <w:b w:val="1"/>
          <w:rtl w:val="0"/>
        </w:rPr>
        <w:t xml:space="preserve">Consultant  Services</w:t>
      </w:r>
    </w:p>
    <w:p w:rsidR="00000000" w:rsidDel="00000000" w:rsidP="00000000" w:rsidRDefault="00000000" w:rsidRPr="00000000" w14:paraId="00000017">
      <w:pPr>
        <w:pageBreakBefore w:val="0"/>
        <w:spacing w:line="240" w:lineRule="auto"/>
        <w:jc w:val="both"/>
        <w:rPr/>
      </w:pPr>
      <w:r w:rsidDel="00000000" w:rsidR="00000000" w:rsidRPr="00000000">
        <w:rPr>
          <w:rtl w:val="0"/>
        </w:rPr>
        <w:t xml:space="preserve">We request $600 to cover costs of interviews/focus groups. For interviews, we will hire professional pollsters at a rate of $20/day. Hiring 3 pollsters for 1 week (5 working days) will total $300. Another $300 will be reserved to organize the focus groups, including room reservation fees, catering, and other associated costs. </w:t>
      </w:r>
    </w:p>
    <w:p w:rsidR="00000000" w:rsidDel="00000000" w:rsidP="00000000" w:rsidRDefault="00000000" w:rsidRPr="00000000" w14:paraId="00000018">
      <w:pPr>
        <w:pageBreakBefore w:val="0"/>
        <w:spacing w:line="240" w:lineRule="auto"/>
        <w:jc w:val="both"/>
        <w:rPr/>
      </w:pPr>
      <w:r w:rsidDel="00000000" w:rsidR="00000000" w:rsidRPr="00000000">
        <w:rPr>
          <w:rtl w:val="0"/>
        </w:rPr>
        <w:t xml:space="preserve">Upon release of the </w:t>
      </w:r>
      <w:r w:rsidDel="00000000" w:rsidR="00000000" w:rsidRPr="00000000">
        <w:rPr>
          <w:i w:val="1"/>
          <w:rtl w:val="0"/>
        </w:rPr>
        <w:t xml:space="preserve">DengueDoctor</w:t>
      </w:r>
      <w:r w:rsidDel="00000000" w:rsidR="00000000" w:rsidRPr="00000000">
        <w:rPr>
          <w:rtl w:val="0"/>
        </w:rPr>
        <w:t xml:space="preserve"> app for self-reporting, we will conduct a promotional campaign to raise awareness of the app among the general population. The average cost of an inbound marketing campaign in Latin America is $4,000, so we request that amount</w:t>
      </w:r>
    </w:p>
    <w:p w:rsidR="00000000" w:rsidDel="00000000" w:rsidP="00000000" w:rsidRDefault="00000000" w:rsidRPr="00000000" w14:paraId="00000019">
      <w:pPr>
        <w:pageBreakBefore w:val="0"/>
        <w:spacing w:line="240" w:lineRule="auto"/>
        <w:jc w:val="both"/>
        <w:rPr/>
      </w:pPr>
      <w:r w:rsidDel="00000000" w:rsidR="00000000" w:rsidRPr="00000000">
        <w:rPr>
          <w:rtl w:val="0"/>
        </w:rPr>
        <w:t xml:space="preserve">(https://www.delosdigital.com/es/blog/cuanto-cuesta-una-campana-de-marketing-digital)</w:t>
      </w:r>
      <w:r w:rsidDel="00000000" w:rsidR="00000000" w:rsidRPr="00000000">
        <w:rPr>
          <w:rtl w:val="0"/>
        </w:rPr>
      </w:r>
    </w:p>
    <w:p w:rsidR="00000000" w:rsidDel="00000000" w:rsidP="00000000" w:rsidRDefault="00000000" w:rsidRPr="00000000" w14:paraId="0000001A">
      <w:pPr>
        <w:pageBreakBefore w:val="0"/>
        <w:spacing w:line="240" w:lineRule="auto"/>
        <w:jc w:val="both"/>
        <w:rPr/>
      </w:pPr>
      <w:r w:rsidDel="00000000" w:rsidR="00000000" w:rsidRPr="00000000">
        <w:rPr>
          <w:rtl w:val="0"/>
        </w:rPr>
      </w:r>
    </w:p>
    <w:p w:rsidR="00000000" w:rsidDel="00000000" w:rsidP="00000000" w:rsidRDefault="00000000" w:rsidRPr="00000000" w14:paraId="0000001B">
      <w:pPr>
        <w:pageBreakBefore w:val="0"/>
        <w:spacing w:line="240" w:lineRule="auto"/>
        <w:jc w:val="both"/>
        <w:rPr>
          <w:rFonts w:ascii="Cambria" w:cs="Cambria" w:eastAsia="Cambria" w:hAnsi="Cambria"/>
          <w:sz w:val="24"/>
          <w:szCs w:val="24"/>
        </w:rPr>
      </w:pPr>
      <w:r w:rsidDel="00000000" w:rsidR="00000000" w:rsidRPr="00000000">
        <w:rPr>
          <w:b w:val="1"/>
          <w:rtl w:val="0"/>
        </w:rPr>
        <w:t xml:space="preserve">Travel</w:t>
      </w:r>
      <w:r w:rsidDel="00000000" w:rsidR="00000000" w:rsidRPr="00000000">
        <w:rPr>
          <w:rtl w:val="0"/>
        </w:rPr>
      </w:r>
    </w:p>
    <w:p w:rsidR="00000000" w:rsidDel="00000000" w:rsidP="00000000" w:rsidRDefault="00000000" w:rsidRPr="00000000" w14:paraId="0000001C">
      <w:pPr>
        <w:pageBreakBefore w:val="0"/>
        <w:spacing w:line="240" w:lineRule="auto"/>
        <w:jc w:val="both"/>
        <w:rPr/>
      </w:pPr>
      <w:r w:rsidDel="00000000" w:rsidR="00000000" w:rsidRPr="00000000">
        <w:rPr>
          <w:rtl w:val="0"/>
        </w:rPr>
        <w:t xml:space="preserve">We request $3500 per year to cover travel costs. Dr. Colubri plans on conducting two visits to Honduras each year. The cost of each visit is approximately $1,600 ($650 round-trip Boston-Tegucigalpa, $1,100 for a 10 day say in a hotel in Tegucigalpa)</w:t>
      </w:r>
    </w:p>
    <w:p w:rsidR="00000000" w:rsidDel="00000000" w:rsidP="00000000" w:rsidRDefault="00000000" w:rsidRPr="00000000" w14:paraId="0000001D">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1E">
      <w:pPr>
        <w:pageBreakBefore w:val="0"/>
        <w:spacing w:line="240" w:lineRule="auto"/>
        <w:jc w:val="both"/>
        <w:rPr>
          <w:rFonts w:ascii="Cambria" w:cs="Cambria" w:eastAsia="Cambria" w:hAnsi="Cambria"/>
          <w:sz w:val="24"/>
          <w:szCs w:val="24"/>
        </w:rPr>
      </w:pPr>
      <w:r w:rsidDel="00000000" w:rsidR="00000000" w:rsidRPr="00000000">
        <w:rPr>
          <w:b w:val="1"/>
          <w:rtl w:val="0"/>
        </w:rPr>
        <w:t xml:space="preserve">Publication Costs</w:t>
      </w:r>
      <w:r w:rsidDel="00000000" w:rsidR="00000000" w:rsidRPr="00000000">
        <w:rPr>
          <w:rtl w:val="0"/>
        </w:rPr>
      </w:r>
    </w:p>
    <w:p w:rsidR="00000000" w:rsidDel="00000000" w:rsidP="00000000" w:rsidRDefault="00000000" w:rsidRPr="00000000" w14:paraId="0000001F">
      <w:pPr>
        <w:pageBreakBefore w:val="0"/>
        <w:spacing w:line="240" w:lineRule="auto"/>
        <w:jc w:val="both"/>
        <w:rPr>
          <w:b w:val="1"/>
        </w:rPr>
      </w:pPr>
      <w:r w:rsidDel="00000000" w:rsidR="00000000" w:rsidRPr="00000000">
        <w:rPr>
          <w:rtl w:val="0"/>
        </w:rPr>
        <w:t xml:space="preserve">We request $2,000 per year for journal fees and publication costs for manuscripts resulting from the proposed work.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