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b w:val="1"/>
          <w:sz w:val="24"/>
          <w:szCs w:val="24"/>
        </w:rPr>
      </w:pPr>
      <w:r w:rsidDel="00000000" w:rsidR="00000000" w:rsidRPr="00000000">
        <w:rPr>
          <w:b w:val="1"/>
          <w:sz w:val="24"/>
          <w:szCs w:val="24"/>
          <w:rtl w:val="0"/>
        </w:rPr>
        <w:t xml:space="preserve">Consortium</w:t>
      </w:r>
      <w:r w:rsidDel="00000000" w:rsidR="00000000" w:rsidRPr="00000000">
        <w:rPr>
          <w:b w:val="1"/>
          <w:sz w:val="24"/>
          <w:szCs w:val="24"/>
          <w:rtl w:val="0"/>
        </w:rPr>
        <w:t xml:space="preserve"> Justification</w:t>
      </w:r>
      <w:r w:rsidDel="00000000" w:rsidR="00000000" w:rsidRPr="00000000">
        <w:rPr>
          <w:rtl w:val="0"/>
        </w:rPr>
      </w:r>
    </w:p>
    <w:p w:rsidR="00000000" w:rsidDel="00000000" w:rsidP="00000000" w:rsidRDefault="00000000" w:rsidRPr="00000000" w14:paraId="00000002">
      <w:pPr>
        <w:pageBreakBefore w:val="0"/>
        <w:spacing w:line="276"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line="276" w:lineRule="auto"/>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spacing w:line="276" w:lineRule="auto"/>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spacing w:line="276" w:lineRule="auto"/>
        <w:rPr>
          <w:i w:val="1"/>
          <w:sz w:val="20"/>
          <w:szCs w:val="20"/>
        </w:rPr>
      </w:pPr>
      <w:r w:rsidDel="00000000" w:rsidR="00000000" w:rsidRPr="00000000">
        <w:rPr>
          <w:rtl w:val="0"/>
        </w:rPr>
      </w:r>
    </w:p>
    <w:p w:rsidR="00000000" w:rsidDel="00000000" w:rsidP="00000000" w:rsidRDefault="00000000" w:rsidRPr="00000000" w14:paraId="00000006">
      <w:pPr>
        <w:pageBreakBefore w:val="0"/>
        <w:spacing w:line="276" w:lineRule="auto"/>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No page maximum, 11pt font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8">
      <w:pPr>
        <w:pageBreakBefore w:val="0"/>
        <w:spacing w:line="276" w:lineRule="auto"/>
        <w:rPr>
          <w:sz w:val="20"/>
          <w:szCs w:val="20"/>
          <w:highlight w:val="white"/>
        </w:rPr>
      </w:pPr>
      <w:r w:rsidDel="00000000" w:rsidR="00000000" w:rsidRPr="00000000">
        <w:rPr>
          <w:b w:val="1"/>
          <w:sz w:val="20"/>
          <w:szCs w:val="20"/>
          <w:rtl w:val="0"/>
        </w:rPr>
        <w:t xml:space="preserve">Content:</w:t>
      </w:r>
      <w:r w:rsidDel="00000000" w:rsidR="00000000" w:rsidRPr="00000000">
        <w:rPr>
          <w:sz w:val="20"/>
          <w:szCs w:val="20"/>
          <w:rtl w:val="0"/>
        </w:rPr>
        <w:t xml:space="preserve"> </w:t>
      </w:r>
      <w:r w:rsidDel="00000000" w:rsidR="00000000" w:rsidRPr="00000000">
        <w:rPr>
          <w:sz w:val="20"/>
          <w:szCs w:val="20"/>
          <w:highlight w:val="white"/>
          <w:rtl w:val="0"/>
        </w:rPr>
        <w:t xml:space="preserve">Provide an estimate of total consortium/subaward costs </w:t>
      </w:r>
      <w:r w:rsidDel="00000000" w:rsidR="00000000" w:rsidRPr="00000000">
        <w:rPr>
          <w:sz w:val="20"/>
          <w:szCs w:val="20"/>
          <w:shd w:fill="8e7cc3" w:val="clear"/>
          <w:rtl w:val="0"/>
        </w:rPr>
        <w:t xml:space="preserve">(</w:t>
      </w:r>
      <w:r w:rsidDel="00000000" w:rsidR="00000000" w:rsidRPr="00000000">
        <w:rPr>
          <w:sz w:val="20"/>
          <w:szCs w:val="20"/>
          <w:shd w:fill="93c47d" w:val="clear"/>
          <w:rtl w:val="0"/>
        </w:rPr>
        <w:t xml:space="preserve">direct costs plus indirect [F&amp;A] costs</w:t>
      </w:r>
      <w:r w:rsidDel="00000000" w:rsidR="00000000" w:rsidRPr="00000000">
        <w:rPr>
          <w:sz w:val="20"/>
          <w:szCs w:val="20"/>
          <w:highlight w:val="white"/>
          <w:rtl w:val="0"/>
        </w:rPr>
        <w:t xml:space="preserve">) for each budget period, rounded to the nearest $1,000. </w:t>
      </w:r>
    </w:p>
    <w:p w:rsidR="00000000" w:rsidDel="00000000" w:rsidP="00000000" w:rsidRDefault="00000000" w:rsidRPr="00000000" w14:paraId="00000009">
      <w:pPr>
        <w:pageBreakBefore w:val="0"/>
        <w:spacing w:line="276" w:lineRule="auto"/>
        <w:rPr>
          <w:sz w:val="20"/>
          <w:szCs w:val="20"/>
          <w:highlight w:val="white"/>
        </w:rPr>
      </w:pPr>
      <w:r w:rsidDel="00000000" w:rsidR="00000000" w:rsidRPr="00000000">
        <w:rPr>
          <w:rtl w:val="0"/>
        </w:rPr>
      </w:r>
    </w:p>
    <w:p w:rsidR="00000000" w:rsidDel="00000000" w:rsidP="00000000" w:rsidRDefault="00000000" w:rsidRPr="00000000" w14:paraId="0000000A">
      <w:pPr>
        <w:pageBreakBefore w:val="0"/>
        <w:spacing w:line="276" w:lineRule="auto"/>
        <w:rPr>
          <w:sz w:val="20"/>
          <w:szCs w:val="20"/>
          <w:highlight w:val="white"/>
        </w:rPr>
      </w:pPr>
      <w:r w:rsidDel="00000000" w:rsidR="00000000" w:rsidRPr="00000000">
        <w:rPr>
          <w:sz w:val="20"/>
          <w:szCs w:val="20"/>
          <w:highlight w:val="white"/>
          <w:rtl w:val="0"/>
        </w:rPr>
        <w:t xml:space="preserve">List the individuals/organizations with whom consortium or contractual arrangements have been made and indicate whether the collaborating institution is foreign or domestic. </w:t>
      </w:r>
    </w:p>
    <w:p w:rsidR="00000000" w:rsidDel="00000000" w:rsidP="00000000" w:rsidRDefault="00000000" w:rsidRPr="00000000" w14:paraId="0000000B">
      <w:pPr>
        <w:pageBreakBefore w:val="0"/>
        <w:spacing w:line="276" w:lineRule="auto"/>
        <w:rPr>
          <w:sz w:val="20"/>
          <w:szCs w:val="20"/>
          <w:highlight w:val="white"/>
        </w:rPr>
      </w:pPr>
      <w:r w:rsidDel="00000000" w:rsidR="00000000" w:rsidRPr="00000000">
        <w:rPr>
          <w:rtl w:val="0"/>
        </w:rPr>
      </w:r>
    </w:p>
    <w:p w:rsidR="00000000" w:rsidDel="00000000" w:rsidP="00000000" w:rsidRDefault="00000000" w:rsidRPr="00000000" w14:paraId="0000000C">
      <w:pPr>
        <w:pageBreakBefore w:val="0"/>
        <w:spacing w:line="276" w:lineRule="auto"/>
        <w:rPr>
          <w:color w:val="444444"/>
          <w:sz w:val="20"/>
          <w:szCs w:val="20"/>
          <w:highlight w:val="white"/>
        </w:rPr>
      </w:pPr>
      <w:r w:rsidDel="00000000" w:rsidR="00000000" w:rsidRPr="00000000">
        <w:rPr>
          <w:sz w:val="20"/>
          <w:szCs w:val="20"/>
          <w:highlight w:val="white"/>
          <w:rtl w:val="0"/>
        </w:rPr>
        <w:t xml:space="preserve">List all personnel, including names, percent effort (use the </w:t>
      </w:r>
      <w:hyperlink r:id="rId7">
        <w:r w:rsidDel="00000000" w:rsidR="00000000" w:rsidRPr="00000000">
          <w:rPr>
            <w:sz w:val="20"/>
            <w:szCs w:val="20"/>
            <w:highlight w:val="white"/>
            <w:u w:val="single"/>
            <w:rtl w:val="0"/>
          </w:rPr>
          <w:t xml:space="preserve">Person Months</w:t>
        </w:r>
      </w:hyperlink>
      <w:r w:rsidDel="00000000" w:rsidR="00000000" w:rsidRPr="00000000">
        <w:rPr>
          <w:sz w:val="20"/>
          <w:szCs w:val="20"/>
          <w:highlight w:val="white"/>
          <w:rtl w:val="0"/>
        </w:rPr>
        <w:t xml:space="preserve"> metric), and roles on the project. Do not provide individual salary information.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This project proposes a subaward to Boston Children’s Hospital (BCH) for the contributions of Dr. Mauricio Santillana, Ph.D., and a research assistant from his group. While much of the research for this project will be carried out in Honduras, BCH is a domestic institution.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spacing w:line="240" w:lineRule="auto"/>
        <w:rPr>
          <w:b w:val="1"/>
          <w:highlight w:val="white"/>
        </w:rPr>
      </w:pPr>
      <w:r w:rsidDel="00000000" w:rsidR="00000000" w:rsidRPr="00000000">
        <w:rPr>
          <w:b w:val="1"/>
          <w:highlight w:val="white"/>
          <w:rtl w:val="0"/>
        </w:rPr>
        <w:t xml:space="preserve">Santillana, Mauricio, Ph.D., Principal Investigator, (1.20 Cal. MThs. effort for Year 2):</w:t>
      </w:r>
    </w:p>
    <w:p w:rsidR="00000000" w:rsidDel="00000000" w:rsidP="00000000" w:rsidRDefault="00000000" w:rsidRPr="00000000" w14:paraId="00000011">
      <w:pPr>
        <w:pageBreakBefore w:val="0"/>
        <w:spacing w:line="240" w:lineRule="auto"/>
        <w:rPr>
          <w:highlight w:val="white"/>
        </w:rPr>
      </w:pPr>
      <w:r w:rsidDel="00000000" w:rsidR="00000000" w:rsidRPr="00000000">
        <w:rPr>
          <w:highlight w:val="white"/>
          <w:rtl w:val="0"/>
        </w:rPr>
        <w:t xml:space="preserve">Mauricio Santillana, PhD, a physicist and applied mathematician, is an Assistant Professor in pediatrics at the Harvard Medical School, a faculty member at Boston Children’s Hospital Computational Health Informatics Program, and an Associate at the Harvard Institute for Applied Computational Sciences. Dr. Santillana’s research has focused on conceiving, analyzing, and implementing mathematical models across multiple research disciplines with the goal of building societally relevant decision-making support tools. Dr. Santillana’s mathematical and physical background, as well as his extensive research experience in digital epidemiology, qualify him well and he will be responsible for overseeing computational analysis and methods pertaining to Aim 3.</w:t>
      </w:r>
    </w:p>
    <w:p w:rsidR="00000000" w:rsidDel="00000000" w:rsidP="00000000" w:rsidRDefault="00000000" w:rsidRPr="00000000" w14:paraId="00000012">
      <w:pPr>
        <w:pageBreakBefore w:val="0"/>
        <w:spacing w:line="240" w:lineRule="auto"/>
        <w:rPr>
          <w:b w:val="1"/>
          <w:highlight w:val="white"/>
        </w:rPr>
      </w:pPr>
      <w:r w:rsidDel="00000000" w:rsidR="00000000" w:rsidRPr="00000000">
        <w:rPr>
          <w:rtl w:val="0"/>
        </w:rPr>
      </w:r>
    </w:p>
    <w:p w:rsidR="00000000" w:rsidDel="00000000" w:rsidP="00000000" w:rsidRDefault="00000000" w:rsidRPr="00000000" w14:paraId="00000013">
      <w:pPr>
        <w:pageBreakBefore w:val="0"/>
        <w:spacing w:line="240" w:lineRule="auto"/>
        <w:rPr>
          <w:b w:val="1"/>
          <w:highlight w:val="white"/>
        </w:rPr>
      </w:pPr>
      <w:r w:rsidDel="00000000" w:rsidR="00000000" w:rsidRPr="00000000">
        <w:rPr>
          <w:b w:val="1"/>
          <w:highlight w:val="white"/>
          <w:rtl w:val="0"/>
        </w:rPr>
        <w:t xml:space="preserve">TBN, Research Assistant (8.40 Cal. MThs. effort for Year 2):</w:t>
      </w:r>
    </w:p>
    <w:p w:rsidR="00000000" w:rsidDel="00000000" w:rsidP="00000000" w:rsidRDefault="00000000" w:rsidRPr="00000000" w14:paraId="00000014">
      <w:pPr>
        <w:pageBreakBefore w:val="0"/>
        <w:spacing w:line="240" w:lineRule="auto"/>
        <w:rPr>
          <w:highlight w:val="white"/>
        </w:rPr>
      </w:pPr>
      <w:r w:rsidDel="00000000" w:rsidR="00000000" w:rsidRPr="00000000">
        <w:rPr>
          <w:highlight w:val="white"/>
          <w:rtl w:val="0"/>
        </w:rPr>
        <w:t xml:space="preserve">A Research Assistant will be will be responsible for designing and implementing machine-learning approaches to create a disease monitoring and disease forecasting prototype capable of estimating Dengue activity weeks ahead of government-lead healthcare-based traditional reports. The research assistant will collect data from multiple data streams that may include: Dengue-related Google search activity, weather information, historical Dengue activity. In collaboration with Dr. Colubri's team, he/she will make sure the data collected from the syndromic surveillance tools as well as point-of-care platforms are transferred so that no individual human information is exposed.</w:t>
      </w:r>
    </w:p>
    <w:p w:rsidR="00000000" w:rsidDel="00000000" w:rsidP="00000000" w:rsidRDefault="00000000" w:rsidRPr="00000000" w14:paraId="00000015">
      <w:pPr>
        <w:pageBreakBefore w:val="0"/>
        <w:spacing w:line="240" w:lineRule="auto"/>
        <w:jc w:val="both"/>
        <w:rPr>
          <w:highlight w:val="white"/>
        </w:rPr>
      </w:pPr>
      <w:r w:rsidDel="00000000" w:rsidR="00000000" w:rsidRPr="00000000">
        <w:rPr>
          <w:rtl w:val="0"/>
        </w:rPr>
      </w:r>
    </w:p>
    <w:p w:rsidR="00000000" w:rsidDel="00000000" w:rsidP="00000000" w:rsidRDefault="00000000" w:rsidRPr="00000000" w14:paraId="00000016">
      <w:pPr>
        <w:pageBreakBefore w:val="0"/>
        <w:spacing w:line="240" w:lineRule="auto"/>
        <w:jc w:val="both"/>
        <w:rPr>
          <w:highlight w:val="white"/>
        </w:rPr>
      </w:pPr>
      <w:r w:rsidDel="00000000" w:rsidR="00000000" w:rsidRPr="00000000">
        <w:rPr>
          <w:rtl w:val="0"/>
        </w:rPr>
      </w:r>
    </w:p>
    <w:p w:rsidR="00000000" w:rsidDel="00000000" w:rsidP="00000000" w:rsidRDefault="00000000" w:rsidRPr="00000000" w14:paraId="00000017">
      <w:pPr>
        <w:pageBreakBefore w:val="0"/>
        <w:spacing w:line="240" w:lineRule="auto"/>
        <w:jc w:val="both"/>
        <w:rPr>
          <w:highlight w:val="white"/>
        </w:rPr>
      </w:pPr>
      <w:r w:rsidDel="00000000" w:rsidR="00000000" w:rsidRPr="00000000">
        <w:rPr>
          <w:rtl w:val="0"/>
        </w:rPr>
      </w:r>
    </w:p>
    <w:p w:rsidR="00000000" w:rsidDel="00000000" w:rsidP="00000000" w:rsidRDefault="00000000" w:rsidRPr="00000000" w14:paraId="00000018">
      <w:pPr>
        <w:pageBreakBefore w:val="0"/>
        <w:spacing w:line="240" w:lineRule="auto"/>
        <w:jc w:val="both"/>
        <w:rPr>
          <w:highlight w:val="white"/>
        </w:rPr>
      </w:pPr>
      <w:r w:rsidDel="00000000" w:rsidR="00000000" w:rsidRPr="00000000">
        <w:rPr>
          <w:highlight w:val="white"/>
          <w:rtl w:val="0"/>
        </w:rPr>
        <w:t xml:space="preserve">Boston Children’s Hospital fringe benefits rates is 30.56%.</w:t>
      </w:r>
    </w:p>
    <w:p w:rsidR="00000000" w:rsidDel="00000000" w:rsidP="00000000" w:rsidRDefault="00000000" w:rsidRPr="00000000" w14:paraId="00000019">
      <w:pPr>
        <w:pageBreakBefore w:val="0"/>
        <w:spacing w:line="240" w:lineRule="auto"/>
        <w:jc w:val="both"/>
        <w:rPr>
          <w:highlight w:val="white"/>
        </w:rPr>
      </w:pPr>
      <w:r w:rsidDel="00000000" w:rsidR="00000000" w:rsidRPr="00000000">
        <w:rPr>
          <w:rtl w:val="0"/>
        </w:rPr>
      </w:r>
    </w:p>
    <w:p w:rsidR="00000000" w:rsidDel="00000000" w:rsidP="00000000" w:rsidRDefault="00000000" w:rsidRPr="00000000" w14:paraId="0000001A">
      <w:pPr>
        <w:pageBreakBefore w:val="0"/>
        <w:spacing w:line="240" w:lineRule="auto"/>
        <w:jc w:val="both"/>
        <w:rPr>
          <w:highlight w:val="white"/>
        </w:rPr>
      </w:pPr>
      <w:r w:rsidDel="00000000" w:rsidR="00000000" w:rsidRPr="00000000">
        <w:rPr>
          <w:highlight w:val="white"/>
          <w:rtl w:val="0"/>
        </w:rPr>
        <w:t xml:space="preserve">Personnel Cost Yr2: $60424 </w:t>
      </w:r>
    </w:p>
    <w:p w:rsidR="00000000" w:rsidDel="00000000" w:rsidP="00000000" w:rsidRDefault="00000000" w:rsidRPr="00000000" w14:paraId="0000001B">
      <w:pPr>
        <w:pageBreakBefore w:val="0"/>
        <w:spacing w:line="240" w:lineRule="auto"/>
        <w:jc w:val="both"/>
        <w:rPr>
          <w:highlight w:val="white"/>
        </w:rPr>
      </w:pPr>
      <w:r w:rsidDel="00000000" w:rsidR="00000000" w:rsidRPr="00000000">
        <w:rPr>
          <w:highlight w:val="white"/>
          <w:rtl w:val="0"/>
        </w:rPr>
        <w:t xml:space="preserve">Direct Cost Yr2: $60424</w:t>
      </w:r>
    </w:p>
    <w:p w:rsidR="00000000" w:rsidDel="00000000" w:rsidP="00000000" w:rsidRDefault="00000000" w:rsidRPr="00000000" w14:paraId="0000001C">
      <w:pPr>
        <w:pageBreakBefore w:val="0"/>
        <w:spacing w:line="240" w:lineRule="auto"/>
        <w:jc w:val="both"/>
        <w:rPr>
          <w:highlight w:val="white"/>
        </w:rPr>
      </w:pPr>
      <w:r w:rsidDel="00000000" w:rsidR="00000000" w:rsidRPr="00000000">
        <w:rPr>
          <w:rtl w:val="0"/>
        </w:rPr>
      </w:r>
    </w:p>
    <w:p w:rsidR="00000000" w:rsidDel="00000000" w:rsidP="00000000" w:rsidRDefault="00000000" w:rsidRPr="00000000" w14:paraId="0000001D">
      <w:pPr>
        <w:pageBreakBefore w:val="0"/>
        <w:spacing w:line="240" w:lineRule="auto"/>
        <w:jc w:val="both"/>
        <w:rPr>
          <w:highlight w:val="white"/>
        </w:rPr>
      </w:pPr>
      <w:r w:rsidDel="00000000" w:rsidR="00000000" w:rsidRPr="00000000">
        <w:rPr>
          <w:highlight w:val="white"/>
          <w:rtl w:val="0"/>
        </w:rPr>
        <w:t xml:space="preserve">Boston Children’s Hospital (BCH) F&amp;A cost rate is currently 77% each year.</w:t>
      </w:r>
    </w:p>
    <w:p w:rsidR="00000000" w:rsidDel="00000000" w:rsidP="00000000" w:rsidRDefault="00000000" w:rsidRPr="00000000" w14:paraId="0000001E">
      <w:pPr>
        <w:pageBreakBefore w:val="0"/>
        <w:spacing w:line="240" w:lineRule="auto"/>
        <w:jc w:val="both"/>
        <w:rPr>
          <w:b w:val="1"/>
          <w:highlight w:val="white"/>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 Id="rId7" Type="http://schemas.openxmlformats.org/officeDocument/2006/relationships/hyperlink" Target="https://grants.nih.gov/grants/glossary.htm#PersonMon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