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Data Management Plan</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Each application must include a supplementary document of no more than two pages. This supplementary document should describe how the proposal will conform to NSF’s policy on the dissemination and sharing of research results (see </w:t>
      </w:r>
      <w:hyperlink r:id="rId7">
        <w:r w:rsidDel="00000000" w:rsidR="00000000" w:rsidRPr="00000000">
          <w:rPr>
            <w:i w:val="1"/>
            <w:color w:val="1155cc"/>
            <w:sz w:val="20"/>
            <w:szCs w:val="20"/>
            <w:u w:val="single"/>
            <w:rtl w:val="0"/>
          </w:rPr>
          <w:t xml:space="preserve">PAPPG Chapter XI.D.4.</w:t>
        </w:r>
      </w:hyperlink>
      <w:r w:rsidDel="00000000" w:rsidR="00000000" w:rsidRPr="00000000">
        <w:rPr>
          <w:i w:val="1"/>
          <w:sz w:val="20"/>
          <w:szCs w:val="20"/>
          <w:rtl w:val="0"/>
        </w:rPr>
        <w:t xml:space="preserve">), and may include:</w:t>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i w:val="1"/>
          <w:sz w:val="20"/>
          <w:szCs w:val="20"/>
          <w:u w:val="none"/>
        </w:rPr>
      </w:pPr>
      <w:r w:rsidDel="00000000" w:rsidR="00000000" w:rsidRPr="00000000">
        <w:rPr>
          <w:i w:val="1"/>
          <w:sz w:val="20"/>
          <w:szCs w:val="20"/>
          <w:rtl w:val="0"/>
        </w:rPr>
        <w:t xml:space="preserve">the types of data, samples, physical collections, software, curriculum materials, and other materials to be produced in the course of the project;</w:t>
      </w:r>
    </w:p>
    <w:p w:rsidR="00000000" w:rsidDel="00000000" w:rsidP="00000000" w:rsidRDefault="00000000" w:rsidRPr="00000000" w14:paraId="0000000B">
      <w:pPr>
        <w:pageBreakBefore w:val="0"/>
        <w:numPr>
          <w:ilvl w:val="0"/>
          <w:numId w:val="1"/>
        </w:numPr>
        <w:ind w:left="720" w:hanging="360"/>
        <w:rPr>
          <w:i w:val="1"/>
          <w:sz w:val="20"/>
          <w:szCs w:val="20"/>
          <w:u w:val="none"/>
        </w:rPr>
      </w:pPr>
      <w:r w:rsidDel="00000000" w:rsidR="00000000" w:rsidRPr="00000000">
        <w:rPr>
          <w:i w:val="1"/>
          <w:sz w:val="20"/>
          <w:szCs w:val="20"/>
          <w:rtl w:val="0"/>
        </w:rPr>
        <w:t xml:space="preserve">the standards to be used for data and metadata format and content (where existing standards are absent or deemed inadequate, this should be documented along with any proposed solutions or remedies);</w:t>
      </w:r>
    </w:p>
    <w:p w:rsidR="00000000" w:rsidDel="00000000" w:rsidP="00000000" w:rsidRDefault="00000000" w:rsidRPr="00000000" w14:paraId="0000000C">
      <w:pPr>
        <w:pageBreakBefore w:val="0"/>
        <w:numPr>
          <w:ilvl w:val="0"/>
          <w:numId w:val="1"/>
        </w:numPr>
        <w:ind w:left="720" w:hanging="360"/>
        <w:rPr>
          <w:i w:val="1"/>
          <w:sz w:val="20"/>
          <w:szCs w:val="20"/>
          <w:u w:val="none"/>
        </w:rPr>
      </w:pPr>
      <w:r w:rsidDel="00000000" w:rsidR="00000000" w:rsidRPr="00000000">
        <w:rPr>
          <w:i w:val="1"/>
          <w:sz w:val="20"/>
          <w:szCs w:val="20"/>
          <w:rtl w:val="0"/>
        </w:rPr>
        <w:t xml:space="preserve">policies for access and sharing including provisions for appropriate protection of privacy, confidentiality, security, intellectual property, or other rights or requirements;</w:t>
      </w:r>
    </w:p>
    <w:p w:rsidR="00000000" w:rsidDel="00000000" w:rsidP="00000000" w:rsidRDefault="00000000" w:rsidRPr="00000000" w14:paraId="0000000D">
      <w:pPr>
        <w:pageBreakBefore w:val="0"/>
        <w:numPr>
          <w:ilvl w:val="0"/>
          <w:numId w:val="1"/>
        </w:numPr>
        <w:ind w:left="720" w:hanging="360"/>
        <w:rPr>
          <w:i w:val="1"/>
          <w:sz w:val="20"/>
          <w:szCs w:val="20"/>
          <w:u w:val="none"/>
        </w:rPr>
      </w:pPr>
      <w:r w:rsidDel="00000000" w:rsidR="00000000" w:rsidRPr="00000000">
        <w:rPr>
          <w:i w:val="1"/>
          <w:sz w:val="20"/>
          <w:szCs w:val="20"/>
          <w:rtl w:val="0"/>
        </w:rPr>
        <w:t xml:space="preserve">policies and provisions for re-use, re-distribution, and the production of derivatives; and </w:t>
      </w:r>
    </w:p>
    <w:p w:rsidR="00000000" w:rsidDel="00000000" w:rsidP="00000000" w:rsidRDefault="00000000" w:rsidRPr="00000000" w14:paraId="0000000E">
      <w:pPr>
        <w:pageBreakBefore w:val="0"/>
        <w:numPr>
          <w:ilvl w:val="0"/>
          <w:numId w:val="1"/>
        </w:numPr>
        <w:ind w:left="720" w:hanging="360"/>
        <w:rPr>
          <w:i w:val="1"/>
          <w:sz w:val="20"/>
          <w:szCs w:val="20"/>
          <w:u w:val="none"/>
        </w:rPr>
      </w:pPr>
      <w:r w:rsidDel="00000000" w:rsidR="00000000" w:rsidRPr="00000000">
        <w:rPr>
          <w:i w:val="1"/>
          <w:sz w:val="20"/>
          <w:szCs w:val="20"/>
          <w:rtl w:val="0"/>
        </w:rPr>
        <w:t xml:space="preserve">plans for archiving data, samples, and other research products, and for preservation of access to them.</w:t>
      </w:r>
    </w:p>
    <w:p w:rsidR="00000000" w:rsidDel="00000000" w:rsidP="00000000" w:rsidRDefault="00000000" w:rsidRPr="00000000" w14:paraId="0000000F">
      <w:pPr>
        <w:pageBreakBefore w:val="0"/>
        <w:rPr>
          <w:i w:val="1"/>
          <w:sz w:val="20"/>
          <w:szCs w:val="20"/>
        </w:rPr>
      </w:pPr>
      <w:r w:rsidDel="00000000" w:rsidR="00000000" w:rsidRPr="00000000">
        <w:rPr>
          <w:rtl w:val="0"/>
        </w:rPr>
      </w:r>
    </w:p>
    <w:p w:rsidR="00000000" w:rsidDel="00000000" w:rsidP="00000000" w:rsidRDefault="00000000" w:rsidRPr="00000000" w14:paraId="00000010">
      <w:pPr>
        <w:pageBreakBefore w:val="0"/>
        <w:rPr>
          <w:i w:val="1"/>
          <w:sz w:val="20"/>
          <w:szCs w:val="20"/>
        </w:rPr>
      </w:pPr>
      <w:r w:rsidDel="00000000" w:rsidR="00000000" w:rsidRPr="00000000">
        <w:rPr>
          <w:i w:val="1"/>
          <w:sz w:val="20"/>
          <w:szCs w:val="20"/>
          <w:rtl w:val="0"/>
        </w:rPr>
        <w:t xml:space="preserve">Data management requirements and plans specific to the Directorate, Office, Division, Program, or other NSF unit, relevant to a proposal are available at: </w:t>
      </w:r>
      <w:hyperlink r:id="rId8">
        <w:r w:rsidDel="00000000" w:rsidR="00000000" w:rsidRPr="00000000">
          <w:rPr>
            <w:i w:val="1"/>
            <w:color w:val="1155cc"/>
            <w:sz w:val="20"/>
            <w:szCs w:val="20"/>
            <w:u w:val="single"/>
            <w:rtl w:val="0"/>
          </w:rPr>
          <w:t xml:space="preserve">http://www.nsf.gov/bfa/dias/policy/dmp.jsp</w:t>
        </w:r>
      </w:hyperlink>
      <w:r w:rsidDel="00000000" w:rsidR="00000000" w:rsidRPr="00000000">
        <w:rPr>
          <w:i w:val="1"/>
          <w:sz w:val="20"/>
          <w:szCs w:val="20"/>
          <w:rtl w:val="0"/>
        </w:rPr>
        <w:t xml:space="preserve">. If guidance specific to the program is not available, then the requirements established in this section apply.</w:t>
      </w:r>
    </w:p>
    <w:p w:rsidR="00000000" w:rsidDel="00000000" w:rsidP="00000000" w:rsidRDefault="00000000" w:rsidRPr="00000000" w14:paraId="00000011">
      <w:pPr>
        <w:pageBreakBefore w:val="0"/>
        <w:rPr>
          <w:i w:val="1"/>
          <w:sz w:val="20"/>
          <w:szCs w:val="20"/>
        </w:rPr>
      </w:pPr>
      <w:r w:rsidDel="00000000" w:rsidR="00000000" w:rsidRPr="00000000">
        <w:rPr>
          <w:rtl w:val="0"/>
        </w:rPr>
      </w:r>
    </w:p>
    <w:p w:rsidR="00000000" w:rsidDel="00000000" w:rsidP="00000000" w:rsidRDefault="00000000" w:rsidRPr="00000000" w14:paraId="00000012">
      <w:pPr>
        <w:pageBreakBefore w:val="0"/>
        <w:rPr>
          <w:i w:val="1"/>
          <w:sz w:val="20"/>
          <w:szCs w:val="20"/>
        </w:rPr>
      </w:pPr>
      <w:r w:rsidDel="00000000" w:rsidR="00000000" w:rsidRPr="00000000">
        <w:rPr>
          <w:i w:val="1"/>
          <w:sz w:val="20"/>
          <w:szCs w:val="20"/>
          <w:rtl w:val="0"/>
        </w:rPr>
        <w:t xml:space="preserve">Applications that include subawards are a single unified project and should include only one supplemental combined Data Management Plan, regardless of the number subawards included. A valid Data Management Plan may include only the statement that no detailed plan is needed, as long as the statement is accompanied by a clear justification. Applicants who feel that the plan cannot fit within the limit of two pages may use part of the 15-page Project Description for additional data management information. Applicants are advised that the Data Management Plan must not be used to circumvent the 15-page Project Description limitation. The Data Management Plan will be reviewed as an integral part of the proposal, considered under Intellectual Merit or Broader Impacts or both, as appropriate for the scientific community of relevance.</w:t>
      </w:r>
    </w:p>
    <w:p w:rsidR="00000000" w:rsidDel="00000000" w:rsidP="00000000" w:rsidRDefault="00000000" w:rsidRPr="00000000" w14:paraId="00000013">
      <w:pPr>
        <w:pageBreakBefore w:val="0"/>
        <w:rPr>
          <w:i w:val="1"/>
          <w:sz w:val="20"/>
          <w:szCs w:val="20"/>
        </w:rPr>
      </w:pPr>
      <w:r w:rsidDel="00000000" w:rsidR="00000000" w:rsidRPr="00000000">
        <w:rPr>
          <w:rtl w:val="0"/>
        </w:rPr>
      </w:r>
    </w:p>
    <w:p w:rsidR="00000000" w:rsidDel="00000000" w:rsidP="00000000" w:rsidRDefault="00000000" w:rsidRPr="00000000" w14:paraId="00000014">
      <w:pPr>
        <w:pageBreakBefore w:val="0"/>
        <w:rPr>
          <w:b w:val="1"/>
          <w:i w:val="1"/>
          <w:sz w:val="20"/>
          <w:szCs w:val="20"/>
        </w:rPr>
      </w:pPr>
      <w:r w:rsidDel="00000000" w:rsidR="00000000" w:rsidRPr="00000000">
        <w:rPr>
          <w:b w:val="1"/>
          <w:i w:val="1"/>
          <w:sz w:val="20"/>
          <w:szCs w:val="20"/>
          <w:rtl w:val="0"/>
        </w:rPr>
        <w:t xml:space="preserve">RFA-Specific info</w:t>
      </w:r>
    </w:p>
    <w:p w:rsidR="00000000" w:rsidDel="00000000" w:rsidP="00000000" w:rsidRDefault="00000000" w:rsidRPr="00000000" w14:paraId="00000015">
      <w:pPr>
        <w:pageBreakBefore w:val="0"/>
        <w:rPr>
          <w:i w:val="1"/>
          <w:sz w:val="20"/>
          <w:szCs w:val="20"/>
        </w:rPr>
      </w:pPr>
      <w:r w:rsidDel="00000000" w:rsidR="00000000" w:rsidRPr="00000000">
        <w:rPr>
          <w:b w:val="1"/>
          <w:i w:val="1"/>
          <w:sz w:val="20"/>
          <w:szCs w:val="20"/>
          <w:highlight w:val="white"/>
          <w:rtl w:val="0"/>
        </w:rPr>
        <w:t xml:space="preserve">Data Management Plan: </w:t>
      </w:r>
      <w:r w:rsidDel="00000000" w:rsidR="00000000" w:rsidRPr="00000000">
        <w:rPr>
          <w:i w:val="1"/>
          <w:sz w:val="20"/>
          <w:szCs w:val="20"/>
          <w:highlight w:val="white"/>
          <w:rtl w:val="0"/>
        </w:rPr>
        <w:t xml:space="preserve">Proposers should be provide a detailed data management plan. Transparency requires that the Federal agencies share how they are maximizing outcomes of Federal STEM investments and activities and ensuring broad benefit to the public. Proposers are highly encouraged to review the EHR Directorate-specific data management plan guidance, which can be accessed at </w:t>
      </w:r>
      <w:hyperlink r:id="rId9">
        <w:r w:rsidDel="00000000" w:rsidR="00000000" w:rsidRPr="00000000">
          <w:rPr>
            <w:i w:val="1"/>
            <w:color w:val="2c66c3"/>
            <w:sz w:val="20"/>
            <w:szCs w:val="20"/>
            <w:highlight w:val="white"/>
            <w:u w:val="single"/>
            <w:rtl w:val="0"/>
          </w:rPr>
          <w:t xml:space="preserve">https://www.nsf.gov/bfa/dias/policy/dmpdocs/ehr.pdf</w:t>
        </w:r>
      </w:hyperlink>
      <w:r w:rsidDel="00000000" w:rsidR="00000000" w:rsidRPr="00000000">
        <w:rPr>
          <w:i w:val="1"/>
          <w:sz w:val="20"/>
          <w:szCs w:val="20"/>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sf.gov/bfa/dias/policy/dmpdocs/ehr.pdf" TargetMode="Externa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11.jsp#XID4" TargetMode="External"/><Relationship Id="rId8" Type="http://schemas.openxmlformats.org/officeDocument/2006/relationships/hyperlink" Target="http://www.nsf.gov/bfa/dias/policy/dm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