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2B75F0" w14:textId="77777777" w:rsidR="00F03A7D" w:rsidRDefault="00000000">
      <w:pPr>
        <w:pStyle w:val="Label"/>
      </w:pPr>
      <w:r>
        <w:t>RESEARCH ARTICLE  |  SYNTHETIC DEMONSTRATION</w:t>
      </w:r>
    </w:p>
    <w:p w14:paraId="58581D0D" w14:textId="0118FA34" w:rsidR="00F03A7D" w:rsidRDefault="00000000">
      <w:pPr>
        <w:pStyle w:val="Title"/>
      </w:pPr>
      <w:r>
        <w:t>Buffered signals stabilize a synthetic gene circuit</w:t>
      </w:r>
    </w:p>
    <w:p w14:paraId="475F63A7" w14:textId="77777777" w:rsidR="00F03A7D" w:rsidRDefault="00000000">
      <w:pPr>
        <w:pStyle w:val="Authors"/>
      </w:pPr>
      <w:r>
        <w:t>Alex Example¹, Rowan Demo¹, Maya Test² &amp; Leo Sample²</w:t>
      </w:r>
    </w:p>
    <w:p w14:paraId="317EC5AD" w14:textId="77777777" w:rsidR="00F03A7D" w:rsidRDefault="00000000">
      <w:pPr>
        <w:pStyle w:val="Small"/>
      </w:pPr>
      <w:r>
        <w:t>¹Example Institute for Synthetic Systems. ²Demonstration Centre for Quantitative Biology. All names and data are fictional.</w:t>
      </w:r>
    </w:p>
    <w:p w14:paraId="677246AD" w14:textId="527F7892" w:rsidR="00F03A7D" w:rsidRDefault="00000000">
      <w:pPr>
        <w:pStyle w:val="Summary"/>
      </w:pPr>
      <w:r>
        <w:t>Cellular responses depend on both signal strength and temporal variability. Here we examine how a buffering step changes the behaviour of a minimal synthetic gene circuit. Across 96 simulated trajectories, buffering reduces response variability while preserving approximately the same mean output. The comparison includes independent noise realizations and a delayed-input condition. The coefficient of variation decreases from 0.38 to 0.21, but this improvement depends on the response timescale. We therefore distinguish variance reduction from faster signal tracking. This manuscript is a fictional software demonstration, not a report of biological discovery.</w:t>
      </w:r>
    </w:p>
    <w:p w14:paraId="260E49F8" w14:textId="7F4169F4" w:rsidR="00F03A7D" w:rsidRDefault="00000000">
      <w:r>
        <w:t>Synthetic circuits provide a controlled setting for studying how fluctuating inputs shape downstream responses</w:t>
      </w:r>
      <w:fldSimple w:instr=" ADDIN ZOTERO_ITEM CSL_CITATION {&quot;citationID&quot;:&quot;demo-1&quot;,&quot;citationItems&quot;:[]} ">
        <w:r>
          <w:rPr>
            <w:vertAlign w:val="superscript"/>
          </w:rPr>
          <w:t>1</w:t>
        </w:r>
      </w:fldSimple>
      <w:r>
        <w:t>. A buffering reaction can smooth rapid fluctuations, yet the same reaction may delay useful information. These two consequences must be evaluated separately. We use deliberately transparent, invented observations to illustrate this distinction without relying on any private experimental material.</w:t>
      </w:r>
    </w:p>
    <w:p w14:paraId="0D3870E2" w14:textId="2E772073" w:rsidR="00F03A7D" w:rsidRDefault="00000000">
      <w:r>
        <w:t>The comparison starts from four conditions: baseline input, buffered input, a delayed pulse and a high-noise control. Each condition uses the same mean input and a matched observation window. The trajectories are synthetic and the numerical summaries are chosen for this demonstration. No patient, animal or unpublished research data are included.</w:t>
      </w:r>
    </w:p>
    <w:p w14:paraId="494F5402" w14:textId="77777777" w:rsidR="00F03A7D" w:rsidRDefault="00000000">
      <w:pPr>
        <w:pStyle w:val="Heading1"/>
      </w:pPr>
      <w:r>
        <w:t>Buffering reduces variability without erasing dynamics</w:t>
      </w:r>
    </w:p>
    <w:p w14:paraId="0356BCA1" w14:textId="36A96A7D" w:rsidR="00F03A7D" w:rsidRDefault="00000000">
      <w:r>
        <w:t>The buffered condition has a lower coefficient of variation than the baseline condition, with visible differences between individual trajectories. The mean response changes from 1.00 to 1.02 arbitrary units. We interpret this as an illustrative variance reduction, rather than evidence that the circuit has become insensitive to its input. A delayed pulse retains a measurable response even when short fluctuations are suppressed.</w:t>
      </w:r>
    </w:p>
    <w:p w14:paraId="318F0F2E" w14:textId="1C671FCB" w:rsidR="00F03A7D" w:rsidRDefault="00000000">
      <w:r>
        <w:t xml:space="preserve">We summarize variability as </w:t>
      </w:r>
      <m:oMath>
        <m:r>
          <w:rPr>
            <w:rFonts w:ascii="Cambria Math" w:hAnsi="Cambria Math"/>
          </w:rPr>
          <m:t xml:space="preserve">CV = </m:t>
        </m:r>
        <m:f>
          <m:fPr>
            <m:ctrlPr>
              <w:rPr>
                <w:rFonts w:ascii="Cambria Math" w:hAnsi="Cambria Math"/>
              </w:rPr>
            </m:ctrlPr>
          </m:fPr>
          <m:num>
            <m:r>
              <w:rPr>
                <w:rFonts w:ascii="Cambria Math" w:hAnsi="Cambria Math"/>
              </w:rPr>
              <m:t>σ</m:t>
            </m:r>
          </m:num>
          <m:den>
            <m:r>
              <w:rPr>
                <w:rFonts w:ascii="Cambria Math" w:hAnsi="Cambria Math"/>
              </w:rPr>
              <m:t>μ</m:t>
            </m:r>
          </m:den>
        </m:f>
      </m:oMath>
      <w:r>
        <w:t>, where σ denotes the standard deviation and μ the mean. The ratio is evaluated only when the mean is positive.</w:t>
      </w:r>
    </w:p>
    <w:p w14:paraId="5846355F" w14:textId="77777777" w:rsidR="00F03A7D" w:rsidRDefault="00000000">
      <w:r>
        <w:t>The following sections expand the comparison, document the synthetic analysis and identify limitations. All four fictional contributors revise the text, numerical summaries and interpretation. These revisions remain editable in the input document and become permanent red text in the converted output.</w:t>
      </w:r>
    </w:p>
    <w:p w14:paraId="187A594D" w14:textId="77777777" w:rsidR="00F03A7D" w:rsidRDefault="00000000">
      <w:r>
        <w:br w:type="page"/>
      </w:r>
    </w:p>
    <w:p w14:paraId="28C0A602" w14:textId="77777777" w:rsidR="00F03A7D" w:rsidRDefault="00000000">
      <w:pPr>
        <w:pStyle w:val="Label"/>
      </w:pPr>
      <w:r>
        <w:lastRenderedPageBreak/>
        <w:t>RESULTS  |  SYNTHETIC DEMONSTRATION</w:t>
      </w:r>
    </w:p>
    <w:p w14:paraId="01AD55B3" w14:textId="77777777" w:rsidR="00F03A7D" w:rsidRDefault="00000000">
      <w:pPr>
        <w:pStyle w:val="Heading1"/>
      </w:pPr>
      <w:r>
        <w:t>Temporal buffering changes the response envelope</w:t>
      </w:r>
    </w:p>
    <w:p w14:paraId="71BD65A1" w14:textId="101666F8" w:rsidR="00F03A7D" w:rsidRDefault="00000000">
      <w:r>
        <w:t xml:space="preserve">We first compare equal-length trajectories under matched input conditions. The reference input contains 96 time points per trajectory, and the buffered input applies a linear smoothing step. The first eight time points are retained in the display but excluded from the illustrative steady-state summary. This convention prevents the initialization period from being confused with a persistent reduction in variation. </w:t>
      </w:r>
    </w:p>
    <w:p w14:paraId="09F0B4C6" w14:textId="1845DF1B" w:rsidR="00F03A7D" w:rsidRDefault="00000000">
      <w:r>
        <w:t>The baseline and buffered conditions have mean responses of 1.00 and 1.02 arbitrary units, respectively. Their standard deviations are 0.38 and 0.21 arbitrary units. These rounded values are descriptive, not estimates from a fitted biological model. The high-noise control remains variable after smoothing, which illustrates why the effect should not be described as complete suppression of fluctuations.</w:t>
      </w:r>
    </w:p>
    <w:p w14:paraId="7253CDE5" w14:textId="77777777" w:rsidR="00F03A7D" w:rsidRDefault="00000000">
      <w:pPr>
        <w:pStyle w:val="Heading1"/>
      </w:pPr>
      <w:r>
        <w:t>Table 1 | Synthetic response summaries</w:t>
      </w:r>
    </w:p>
    <w:tbl>
      <w:tblPr>
        <w:tblW w:w="0" w:type="auto"/>
        <w:tblInd w:w="10" w:type="dxa"/>
        <w:tblBorders>
          <w:top w:val="single" w:sz="6" w:space="0" w:color="B8B8B8"/>
          <w:bottom w:val="single" w:sz="6" w:space="0" w:color="B8B8B8"/>
          <w:insideH w:val="single" w:sz="6" w:space="0" w:color="B8B8B8"/>
        </w:tblBorders>
        <w:tblCellMar>
          <w:left w:w="10" w:type="dxa"/>
          <w:right w:w="10" w:type="dxa"/>
        </w:tblCellMar>
        <w:tblLook w:val="04A0" w:firstRow="1" w:lastRow="0" w:firstColumn="1" w:lastColumn="0" w:noHBand="0" w:noVBand="1"/>
      </w:tblPr>
      <w:tblGrid>
        <w:gridCol w:w="2300"/>
        <w:gridCol w:w="2300"/>
        <w:gridCol w:w="2300"/>
        <w:gridCol w:w="2300"/>
      </w:tblGrid>
      <w:tr w:rsidR="00F03A7D" w14:paraId="0904D331" w14:textId="77777777">
        <w:tblPrEx>
          <w:tblCellMar>
            <w:top w:w="0" w:type="dxa"/>
            <w:bottom w:w="0" w:type="dxa"/>
          </w:tblCellMar>
        </w:tblPrEx>
        <w:tc>
          <w:tcPr>
            <w:tcW w:w="2300" w:type="dxa"/>
          </w:tcPr>
          <w:p w14:paraId="140EAC5A" w14:textId="77777777" w:rsidR="00F03A7D" w:rsidRDefault="00000000">
            <w:pPr>
              <w:pStyle w:val="TableText"/>
            </w:pPr>
            <w:r>
              <w:t>Condition</w:t>
            </w:r>
          </w:p>
        </w:tc>
        <w:tc>
          <w:tcPr>
            <w:tcW w:w="2300" w:type="dxa"/>
          </w:tcPr>
          <w:p w14:paraId="11F6AA3A" w14:textId="77777777" w:rsidR="00F03A7D" w:rsidRDefault="00000000">
            <w:pPr>
              <w:pStyle w:val="TableText"/>
            </w:pPr>
            <w:r>
              <w:t>Trajectories</w:t>
            </w:r>
          </w:p>
        </w:tc>
        <w:tc>
          <w:tcPr>
            <w:tcW w:w="2300" w:type="dxa"/>
          </w:tcPr>
          <w:p w14:paraId="3EED2905" w14:textId="77777777" w:rsidR="00F03A7D" w:rsidRDefault="00000000">
            <w:pPr>
              <w:pStyle w:val="TableText"/>
            </w:pPr>
            <w:r>
              <w:t>Mean</w:t>
            </w:r>
          </w:p>
        </w:tc>
        <w:tc>
          <w:tcPr>
            <w:tcW w:w="2300" w:type="dxa"/>
          </w:tcPr>
          <w:p w14:paraId="2B4B7644" w14:textId="77777777" w:rsidR="00F03A7D" w:rsidRDefault="00000000">
            <w:pPr>
              <w:pStyle w:val="TableText"/>
            </w:pPr>
            <w:r>
              <w:t>CV</w:t>
            </w:r>
          </w:p>
        </w:tc>
      </w:tr>
      <w:tr w:rsidR="00F03A7D" w14:paraId="1151B53A" w14:textId="77777777">
        <w:tblPrEx>
          <w:tblCellMar>
            <w:top w:w="0" w:type="dxa"/>
            <w:bottom w:w="0" w:type="dxa"/>
          </w:tblCellMar>
        </w:tblPrEx>
        <w:tc>
          <w:tcPr>
            <w:tcW w:w="2300" w:type="dxa"/>
          </w:tcPr>
          <w:p w14:paraId="1926B307" w14:textId="77777777" w:rsidR="00F03A7D" w:rsidRDefault="00000000">
            <w:pPr>
              <w:pStyle w:val="TableText"/>
            </w:pPr>
            <w:r>
              <w:t>Baseline</w:t>
            </w:r>
          </w:p>
        </w:tc>
        <w:tc>
          <w:tcPr>
            <w:tcW w:w="2300" w:type="dxa"/>
          </w:tcPr>
          <w:p w14:paraId="7CAEDE2B" w14:textId="4B8CD6E4" w:rsidR="00F03A7D" w:rsidRDefault="00000000">
            <w:pPr>
              <w:pStyle w:val="TableText"/>
            </w:pPr>
            <w:r>
              <w:t>96</w:t>
            </w:r>
          </w:p>
        </w:tc>
        <w:tc>
          <w:tcPr>
            <w:tcW w:w="2300" w:type="dxa"/>
          </w:tcPr>
          <w:p w14:paraId="5B8E1486" w14:textId="751CB8A0" w:rsidR="00F03A7D" w:rsidRDefault="00000000">
            <w:pPr>
              <w:pStyle w:val="TableText"/>
            </w:pPr>
            <w:r>
              <w:t>1.00</w:t>
            </w:r>
          </w:p>
        </w:tc>
        <w:tc>
          <w:tcPr>
            <w:tcW w:w="2300" w:type="dxa"/>
          </w:tcPr>
          <w:p w14:paraId="74B65116" w14:textId="69E3BD1F" w:rsidR="00F03A7D" w:rsidRDefault="00000000">
            <w:pPr>
              <w:pStyle w:val="TableText"/>
            </w:pPr>
            <w:r>
              <w:t>0.38</w:t>
            </w:r>
          </w:p>
        </w:tc>
      </w:tr>
      <w:tr w:rsidR="00F03A7D" w14:paraId="7ED54640" w14:textId="77777777">
        <w:tblPrEx>
          <w:tblCellMar>
            <w:top w:w="0" w:type="dxa"/>
            <w:bottom w:w="0" w:type="dxa"/>
          </w:tblCellMar>
        </w:tblPrEx>
        <w:tc>
          <w:tcPr>
            <w:tcW w:w="2300" w:type="dxa"/>
          </w:tcPr>
          <w:p w14:paraId="06A22BB2" w14:textId="77777777" w:rsidR="00F03A7D" w:rsidRDefault="00000000">
            <w:pPr>
              <w:pStyle w:val="TableText"/>
            </w:pPr>
            <w:r>
              <w:t>Buffered</w:t>
            </w:r>
          </w:p>
        </w:tc>
        <w:tc>
          <w:tcPr>
            <w:tcW w:w="2300" w:type="dxa"/>
          </w:tcPr>
          <w:p w14:paraId="1672F2EE" w14:textId="60DB36C9" w:rsidR="00F03A7D" w:rsidRDefault="00000000">
            <w:pPr>
              <w:pStyle w:val="TableText"/>
            </w:pPr>
            <w:r>
              <w:t>96</w:t>
            </w:r>
          </w:p>
        </w:tc>
        <w:tc>
          <w:tcPr>
            <w:tcW w:w="2300" w:type="dxa"/>
          </w:tcPr>
          <w:p w14:paraId="52DE4ED4" w14:textId="77777777" w:rsidR="00F03A7D" w:rsidRDefault="00000000">
            <w:pPr>
              <w:pStyle w:val="TableText"/>
            </w:pPr>
            <w:r>
              <w:t>1.02</w:t>
            </w:r>
          </w:p>
        </w:tc>
        <w:tc>
          <w:tcPr>
            <w:tcW w:w="2300" w:type="dxa"/>
          </w:tcPr>
          <w:p w14:paraId="358307F6" w14:textId="54D1A5C5" w:rsidR="00F03A7D" w:rsidRDefault="00000000">
            <w:pPr>
              <w:pStyle w:val="TableText"/>
            </w:pPr>
            <w:r>
              <w:t>0.21</w:t>
            </w:r>
          </w:p>
        </w:tc>
      </w:tr>
      <w:tr w:rsidR="00F03A7D" w14:paraId="20014905" w14:textId="77777777">
        <w:tblPrEx>
          <w:tblCellMar>
            <w:top w:w="0" w:type="dxa"/>
            <w:bottom w:w="0" w:type="dxa"/>
          </w:tblCellMar>
        </w:tblPrEx>
        <w:tc>
          <w:tcPr>
            <w:tcW w:w="2300" w:type="dxa"/>
          </w:tcPr>
          <w:p w14:paraId="56F4F5F1" w14:textId="77777777" w:rsidR="00F03A7D" w:rsidRDefault="00000000">
            <w:pPr>
              <w:pStyle w:val="TableText"/>
            </w:pPr>
            <w:r>
              <w:t>Delayed pulse</w:t>
            </w:r>
          </w:p>
        </w:tc>
        <w:tc>
          <w:tcPr>
            <w:tcW w:w="2300" w:type="dxa"/>
          </w:tcPr>
          <w:p w14:paraId="0E8BFF96" w14:textId="09D14DDD" w:rsidR="00F03A7D" w:rsidRDefault="00000000">
            <w:pPr>
              <w:pStyle w:val="TableText"/>
            </w:pPr>
            <w:r>
              <w:t>96</w:t>
            </w:r>
          </w:p>
        </w:tc>
        <w:tc>
          <w:tcPr>
            <w:tcW w:w="2300" w:type="dxa"/>
          </w:tcPr>
          <w:p w14:paraId="2BD8D996" w14:textId="3DA4BBDA" w:rsidR="00F03A7D" w:rsidRDefault="00000000">
            <w:pPr>
              <w:pStyle w:val="TableText"/>
            </w:pPr>
            <w:r>
              <w:t>0.97</w:t>
            </w:r>
          </w:p>
        </w:tc>
        <w:tc>
          <w:tcPr>
            <w:tcW w:w="2300" w:type="dxa"/>
          </w:tcPr>
          <w:p w14:paraId="39201CE5" w14:textId="73C7663F" w:rsidR="00F03A7D" w:rsidRDefault="00000000">
            <w:pPr>
              <w:pStyle w:val="TableText"/>
            </w:pPr>
            <w:r>
              <w:t>0.29</w:t>
            </w:r>
          </w:p>
        </w:tc>
      </w:tr>
      <w:tr w:rsidR="00F03A7D" w14:paraId="474367C7" w14:textId="77777777">
        <w:tblPrEx>
          <w:tblCellMar>
            <w:top w:w="0" w:type="dxa"/>
            <w:bottom w:w="0" w:type="dxa"/>
          </w:tblCellMar>
        </w:tblPrEx>
        <w:tc>
          <w:tcPr>
            <w:tcW w:w="2300" w:type="dxa"/>
          </w:tcPr>
          <w:p w14:paraId="6C5B17C2" w14:textId="77777777" w:rsidR="00F03A7D" w:rsidRDefault="00000000">
            <w:pPr>
              <w:pStyle w:val="TableText"/>
            </w:pPr>
            <w:r>
              <w:t>High-noise control</w:t>
            </w:r>
          </w:p>
        </w:tc>
        <w:tc>
          <w:tcPr>
            <w:tcW w:w="2300" w:type="dxa"/>
          </w:tcPr>
          <w:p w14:paraId="7DAB7099" w14:textId="77777777" w:rsidR="00F03A7D" w:rsidRDefault="00000000">
            <w:pPr>
              <w:pStyle w:val="TableText"/>
            </w:pPr>
            <w:r>
              <w:t>96</w:t>
            </w:r>
          </w:p>
        </w:tc>
        <w:tc>
          <w:tcPr>
            <w:tcW w:w="2300" w:type="dxa"/>
          </w:tcPr>
          <w:p w14:paraId="350B98D7" w14:textId="43AA66BD" w:rsidR="00F03A7D" w:rsidRDefault="00000000">
            <w:pPr>
              <w:pStyle w:val="TableText"/>
            </w:pPr>
            <w:r>
              <w:t>1.03</w:t>
            </w:r>
          </w:p>
        </w:tc>
        <w:tc>
          <w:tcPr>
            <w:tcW w:w="2300" w:type="dxa"/>
          </w:tcPr>
          <w:p w14:paraId="18F3424E" w14:textId="7B34310E" w:rsidR="00F03A7D" w:rsidRDefault="00000000">
            <w:pPr>
              <w:pStyle w:val="TableText"/>
            </w:pPr>
            <w:r>
              <w:t>0.54</w:t>
            </w:r>
          </w:p>
        </w:tc>
      </w:tr>
    </w:tbl>
    <w:p w14:paraId="7FF11508" w14:textId="1C4AE278" w:rsidR="00F03A7D" w:rsidRDefault="00000000">
      <w:pPr>
        <w:pStyle w:val="Small"/>
      </w:pPr>
      <w:r>
        <w:t>Each row summarizes invented values. No inferential uncertainty is implied by the displayed precision.</w:t>
      </w:r>
    </w:p>
    <w:p w14:paraId="5EC0C8A5" w14:textId="77777777" w:rsidR="00F03A7D" w:rsidRDefault="00000000">
      <w:pPr>
        <w:pStyle w:val="Heading1"/>
      </w:pPr>
      <w:r>
        <w:t>A delayed pulse separates smoothing from responsiveness</w:t>
      </w:r>
    </w:p>
    <w:p w14:paraId="24DE3BA2" w14:textId="23D6E68E" w:rsidR="00F03A7D" w:rsidRDefault="00000000">
      <w:r>
        <w:t>A second comparison introduces a pulse after the initial equilibration interval. The peak occurs at 16 time units in the baseline trajectory and 22 time units after buffering. The lag is consistent with the added response timescale in this constructed example. A lower coefficient of variation therefore cannot, by itself, establish that a circuit performs better on every task.</w:t>
      </w:r>
    </w:p>
    <w:p w14:paraId="7CA27995" w14:textId="77777777" w:rsidR="00F03A7D" w:rsidRDefault="00000000">
      <w:r>
        <w:t xml:space="preserve">For a compact comparison we define the normalized change as </w:t>
      </w:r>
      <m:oMath>
        <m:r>
          <w:rPr>
            <w:rFonts w:ascii="Cambria Math" w:hAnsi="Cambria Math"/>
          </w:rPr>
          <m:t xml:space="preserve">Δ = </m:t>
        </m:r>
        <m:f>
          <m:fPr>
            <m:ctrlPr>
              <w:rPr>
                <w:rFonts w:ascii="Cambria Math" w:hAnsi="Cambria Math"/>
              </w:rPr>
            </m:ctrlPr>
          </m:fPr>
          <m:num>
            <m:r>
              <w:rPr>
                <w:rFonts w:ascii="Cambria Math" w:hAnsi="Cambria Math"/>
              </w:rPr>
              <m:t>CV baseline − CV buffered</m:t>
            </m:r>
          </m:num>
          <m:den>
            <m:r>
              <w:rPr>
                <w:rFonts w:ascii="Cambria Math" w:hAnsi="Cambria Math"/>
              </w:rPr>
              <m:t>CV baseline</m:t>
            </m:r>
          </m:den>
        </m:f>
      </m:oMath>
      <w:r>
        <w:t>.</w:t>
      </w:r>
    </w:p>
    <w:p w14:paraId="001F5121" w14:textId="065790B5" w:rsidR="00F03A7D" w:rsidRDefault="00000000">
      <w:r>
        <w:t>This descriptive quantity is a relative reduction, not a probability or a test statistic. A value near zero means that the two illustrative conditions have similar variability. The sign changes if the buffered condition is more variable, so the metric should be interpreted alongside the original means and dispersions.</w:t>
      </w:r>
    </w:p>
    <w:p w14:paraId="4C78062D" w14:textId="77777777" w:rsidR="00F03A7D" w:rsidRDefault="00000000">
      <w:r>
        <w:br w:type="page"/>
      </w:r>
    </w:p>
    <w:p w14:paraId="3391C61D" w14:textId="77777777" w:rsidR="00F03A7D" w:rsidRDefault="00000000">
      <w:pPr>
        <w:pStyle w:val="Label"/>
      </w:pPr>
      <w:r>
        <w:lastRenderedPageBreak/>
        <w:t>DISCUSSION  |  SYNTHETIC DEMONSTRATION</w:t>
      </w:r>
    </w:p>
    <w:p w14:paraId="7A6A1F9F" w14:textId="77777777" w:rsidR="00F03A7D" w:rsidRDefault="00000000">
      <w:pPr>
        <w:pStyle w:val="Heading1"/>
      </w:pPr>
      <w:r>
        <w:t>Robustness depends on the timescale of interest</w:t>
      </w:r>
    </w:p>
    <w:p w14:paraId="544C15D7" w14:textId="68572F4A" w:rsidR="00F03A7D" w:rsidRDefault="00000000">
      <w:r>
        <w:t>The apparent benefit of buffering depends on the observation window. For short windows, the response can appear nearly constant simply because the slow component has not yet changed. For longer windows, the same component follows the input and contributes to the total variation. We therefore keep the sampling interval fixed when comparing conditions. This requirement is part of the example design rather than a general recommendation for all biological systems.</w:t>
      </w:r>
    </w:p>
    <w:p w14:paraId="05EEB559" w14:textId="618F5D98" w:rsidR="00F03A7D" w:rsidRDefault="00000000">
      <w:r>
        <w:t>Changing the smoothing width from four to eight time steps lowers rapid fluctuations but increases the response delay. The direction of the trade-off is consistent, whereas its magnitude varies. The comparison illustrates why a single summary statistic should not replace inspection of the full trajectory. A circuit intended to detect brief pulses may favour responsiveness over a low steady-state coefficient of variation.</w:t>
      </w:r>
    </w:p>
    <w:p w14:paraId="31AFBB73" w14:textId="77777777" w:rsidR="00F03A7D" w:rsidRDefault="00000000">
      <w:pPr>
        <w:pStyle w:val="Heading1"/>
      </w:pPr>
      <w:r>
        <w:t>Interpretation and scope</w:t>
      </w:r>
    </w:p>
    <w:p w14:paraId="3DB6F362" w14:textId="54067466" w:rsidR="00F03A7D" w:rsidRDefault="00000000">
      <w:r>
        <w:t>The synthetic model deliberately omits molecular counting noise, feedback saturation and variation in cell state. These factors could change the behaviour of a real circuit. No causal inference about an organism follows from the numbers in Table 1. The example also does not establish that the selected metric is sufficient for any experimental application.</w:t>
      </w:r>
    </w:p>
    <w:p w14:paraId="2EA3D0D1" w14:textId="16AC4147" w:rsidR="00F03A7D" w:rsidRDefault="00000000">
      <w:r>
        <w:t>The main conceptual distinction is between preserving the mean, reducing fluctuations and tracking a changing input. These objectives can conflict. A useful analysis would define the relevant biological task before choosing a smoothing timescale. Here, the task is narrower: provide a readable manuscript with many independently attributed revisions. The document thus combines small numerical replacements, whole-sentence insertions and removed overstatements.</w:t>
      </w:r>
    </w:p>
    <w:p w14:paraId="5D8EB013" w14:textId="77777777" w:rsidR="00F03A7D" w:rsidRDefault="00000000">
      <w:pPr>
        <w:pStyle w:val="Heading1"/>
      </w:pPr>
      <w:r>
        <w:t>Limitations of this demonstration</w:t>
      </w:r>
    </w:p>
    <w:p w14:paraId="4605B40D" w14:textId="6950FA8F" w:rsidR="00F03A7D" w:rsidRDefault="00000000">
      <w:r>
        <w:t>The manuscript contains four fictional revising authors and uses their names only as Track Changes metadata. Author attribution is visible in the tracked document but does not determine the final output color. All surviving inserted text becomes red, while unchanged text becomes black. This is an intentional review aid rather than a substitute for an editor’s decision about which proposed changes to accept.</w:t>
      </w:r>
    </w:p>
    <w:p w14:paraId="63D926D2" w14:textId="62A941E0" w:rsidR="00F03A7D" w:rsidRDefault="00000000">
      <w:r>
        <w:t>The browser screenshots are a visual demonstration of the generated files. They do not certify Microsoft Word layout fidelity. Editable citation and hyperlink fields, paragraph boundaries and mathematical markup are checked independently of the screenshots. The input remains a synthetic fixture and is never presented as an independently accepted Word reference.</w:t>
      </w:r>
    </w:p>
    <w:p w14:paraId="1CB326CD" w14:textId="77777777" w:rsidR="00F03A7D" w:rsidRDefault="00000000">
      <w:pPr>
        <w:pStyle w:val="Heading1"/>
      </w:pPr>
      <w:r>
        <w:t>References</w:t>
      </w:r>
    </w:p>
    <w:p w14:paraId="1FE43827" w14:textId="77777777" w:rsidR="00F03A7D" w:rsidRDefault="00000000">
      <w:pPr>
        <w:pStyle w:val="Small"/>
      </w:pPr>
      <w:r>
        <w:t>1. Example, A. &amp; Demo, R. A minimal model of buffered signals. Fictional reference for software testing (2026).</w:t>
      </w:r>
    </w:p>
    <w:p w14:paraId="114AF40E" w14:textId="77777777" w:rsidR="00F03A7D" w:rsidRDefault="00000000">
      <w:pPr>
        <w:pStyle w:val="Small"/>
      </w:pPr>
      <w:r>
        <w:t>2. Test, M. &amp; Sample, L. Timescale selection in a synthetic response model. Fictional reference for software testing (2026).</w:t>
      </w:r>
    </w:p>
    <w:p w14:paraId="0381864B" w14:textId="125106DE" w:rsidR="00F03A7D" w:rsidRDefault="00000000">
      <w:pPr>
        <w:pStyle w:val="Small"/>
      </w:pPr>
      <w:r>
        <w:t>3. Demo, R. et al. Matched input comparisons for illustrative trajectories. Fictional reference for software testing (2026).</w:t>
      </w:r>
    </w:p>
    <w:p w14:paraId="1B09B07B" w14:textId="77777777" w:rsidR="00F03A7D" w:rsidRDefault="00000000">
      <w:r>
        <w:br w:type="page"/>
      </w:r>
    </w:p>
    <w:p w14:paraId="5DC4323A" w14:textId="77777777" w:rsidR="00F03A7D" w:rsidRDefault="00000000">
      <w:pPr>
        <w:pStyle w:val="Label"/>
      </w:pPr>
      <w:r>
        <w:lastRenderedPageBreak/>
        <w:t>METHODS  |  SYNTHETIC DEMONSTRATION</w:t>
      </w:r>
    </w:p>
    <w:p w14:paraId="4AC7C937" w14:textId="77777777" w:rsidR="00F03A7D" w:rsidRDefault="00000000">
      <w:pPr>
        <w:pStyle w:val="Heading1"/>
      </w:pPr>
      <w:r>
        <w:t>Simulation design and data handling</w:t>
      </w:r>
    </w:p>
    <w:p w14:paraId="6D7F1D44" w14:textId="7D9A2906" w:rsidR="00F03A7D" w:rsidRDefault="00000000">
      <w:r>
        <w:t>We construct four named conditions with 96 trajectories per condition. Each trajectory uses a common time grid and a fixed input mean. Initialization is reported separately from the steady-state interval. The displayed summaries are authored values, not output from a hidden simulation or a measurement instrument. No external dataset, private manuscript or commercial journal template is used.</w:t>
      </w:r>
    </w:p>
    <w:p w14:paraId="4092B52F" w14:textId="1E24B907" w:rsidR="00F03A7D" w:rsidRDefault="00000000">
      <w:r>
        <w:t>The input document stores edits in standard WordprocessingML insertion and deletion containers. Both proposed text and deleted text are present in the tracked input. Revision identifiers are unique, and the four author names are assigned distinct revision dates. This makes the file useful for inspecting author attribution in a document editor.</w:t>
      </w:r>
    </w:p>
    <w:p w14:paraId="573DB319" w14:textId="77777777" w:rsidR="00F03A7D" w:rsidRDefault="00000000">
      <w:pPr>
        <w:pStyle w:val="Heading1"/>
      </w:pPr>
      <w:r>
        <w:t>Analysis and reporting</w:t>
      </w:r>
    </w:p>
    <w:p w14:paraId="750CBCEA" w14:textId="499A3F9B" w:rsidR="00F03A7D" w:rsidRDefault="00000000">
      <w:r>
        <w:t>Means and coefficients of variation are reported with two decimal places for readability. No statistical test is performed on these invented values. For a real analysis, uncertainty would need to reflect the sampling design and dependence between observations. The table is included to exercise revised cell content without changing the cell grid.</w:t>
      </w:r>
    </w:p>
    <w:p w14:paraId="04B8605C" w14:textId="3D8702D7" w:rsidR="00F03A7D" w:rsidRDefault="00000000">
      <w:r>
        <w:t>The two displayed equations are native Office Math objects rather than raster images. Their numerators, denominators and surrounding text remain separately editable. The superscript citation is a synthetic Zotero-shaped field, and the repository address below is a HYPERLINK field. Field boundaries and instructions are preserved during conversion.</w:t>
      </w:r>
    </w:p>
    <w:p w14:paraId="30556CEF" w14:textId="77777777" w:rsidR="00F03A7D" w:rsidRDefault="00000000">
      <w:pPr>
        <w:pStyle w:val="Heading1"/>
      </w:pPr>
      <w:r>
        <w:t>Data and code availability</w:t>
      </w:r>
    </w:p>
    <w:p w14:paraId="5840D98D" w14:textId="77777777" w:rsidR="00F03A7D" w:rsidRDefault="00000000">
      <w:r>
        <w:t>All numerical values and named contributors are fictional. The public DOCX files are safe to distribute as software examples. The local generation and rendering scripts are maintenance utilities and are not included in the public repository.</w:t>
      </w:r>
    </w:p>
    <w:p w14:paraId="4AE6D010" w14:textId="77777777" w:rsidR="00F03A7D" w:rsidRDefault="00000000">
      <w:r>
        <w:t xml:space="preserve">Run the example with docx-color. The package repository is </w:t>
      </w:r>
      <w:hyperlink r:id="rId4">
        <w:r>
          <w:rPr>
            <w:u w:val="single"/>
          </w:rPr>
          <w:t>github.com/lzj1769/docx-color-cli</w:t>
        </w:r>
      </w:hyperlink>
      <w:r>
        <w:t>.</w:t>
      </w:r>
    </w:p>
    <w:p w14:paraId="13C8C77D" w14:textId="77777777" w:rsidR="00F03A7D" w:rsidRDefault="00000000">
      <w:pPr>
        <w:pStyle w:val="Heading1"/>
      </w:pPr>
      <w:r>
        <w:t>Author contributions and competing interests</w:t>
      </w:r>
    </w:p>
    <w:p w14:paraId="1899B970" w14:textId="7F84C14D" w:rsidR="00F03A7D" w:rsidRDefault="00000000">
      <w:r>
        <w:t>A.E. revised the conceptual framing; R.D. revised the numerical summaries; M.T. revised the methodological interpretation; L.S. revised the limitations and reporting language. All four names are fictional and describe no real collaboration. This document reports no research discovery or competing financial interest.</w:t>
      </w:r>
    </w:p>
    <w:p w14:paraId="5C6BCBE9" w14:textId="22F8A6F4" w:rsidR="00F03A7D" w:rsidRDefault="00000000">
      <w:pPr>
        <w:pStyle w:val="Small"/>
      </w:pPr>
      <w:r>
        <w:t>This abridged article is inspired by scholarly manuscript structure. It is not an official Nature template, not a published article and not evidence for a biological claim.</w:t>
      </w:r>
    </w:p>
    <w:sectPr w:rsidR="00F03A7D">
      <w:pgSz w:w="11906" w:h="16838"/>
      <w:pgMar w:top="850" w:right="1000" w:bottom="850" w:left="1000" w:header="400" w:footer="4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F03A7D"/>
    <w:rsid w:val="006D6CFF"/>
    <w:rsid w:val="007A52C1"/>
    <w:rsid w:val="00F03A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9EE2DEC"/>
  <w15:docId w15:val="{F0E6D8FE-AC86-414E-82C8-5E5834464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lang w:val="en-US" w:eastAsia="zh-CN"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keepNext/>
      <w:spacing w:before="100" w:after="180"/>
    </w:pPr>
    <w:rPr>
      <w:b/>
      <w:sz w:val="40"/>
    </w:rPr>
  </w:style>
  <w:style w:type="paragraph" w:customStyle="1" w:styleId="Label">
    <w:name w:val="Label"/>
    <w:basedOn w:val="Normal"/>
    <w:pPr>
      <w:keepNext/>
    </w:pPr>
    <w:rPr>
      <w:rFonts w:ascii="Arial" w:hAnsi="Arial"/>
      <w:sz w:val="17"/>
    </w:rPr>
  </w:style>
  <w:style w:type="paragraph" w:customStyle="1" w:styleId="Authors">
    <w:name w:val="Authors"/>
    <w:basedOn w:val="Normal"/>
    <w:pPr>
      <w:keepNext/>
    </w:pPr>
    <w:rPr>
      <w:sz w:val="23"/>
    </w:rPr>
  </w:style>
  <w:style w:type="paragraph" w:customStyle="1" w:styleId="Small">
    <w:name w:val="Small"/>
    <w:basedOn w:val="Normal"/>
    <w:pPr>
      <w:spacing w:after="100"/>
    </w:pPr>
    <w:rPr>
      <w:sz w:val="18"/>
    </w:rPr>
  </w:style>
  <w:style w:type="paragraph" w:customStyle="1" w:styleId="Summary">
    <w:name w:val="Summary"/>
    <w:basedOn w:val="Normal"/>
    <w:pPr>
      <w:spacing w:before="100" w:after="180"/>
    </w:pPr>
    <w:rPr>
      <w:b/>
    </w:rPr>
  </w:style>
  <w:style w:type="paragraph" w:customStyle="1" w:styleId="Heading1">
    <w:name w:val="Heading1"/>
    <w:basedOn w:val="Normal"/>
    <w:pPr>
      <w:keepNext/>
      <w:spacing w:before="160" w:after="80"/>
      <w:outlineLvl w:val="0"/>
    </w:pPr>
    <w:rPr>
      <w:b/>
      <w:sz w:val="24"/>
    </w:rPr>
  </w:style>
  <w:style w:type="paragraph" w:customStyle="1" w:styleId="TableText">
    <w:name w:val="TableText"/>
    <w:basedOn w:val="Normal"/>
    <w:pPr>
      <w:spacing w:before="60" w:after="60"/>
    </w:pPr>
    <w:rPr>
      <w:sz w:val="20"/>
    </w:rPr>
  </w:style>
  <w:style w:type="paragraph" w:styleId="Revision">
    <w:name w:val="Revision"/>
    <w:hidden/>
    <w:uiPriority w:val="99"/>
    <w:semiHidden/>
    <w:rsid w:val="006D6CF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lzj1769/docx-color-c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1473</Words>
  <Characters>8827</Characters>
  <Application>Microsoft Office Word</Application>
  <DocSecurity>0</DocSecurity>
  <Lines>140</Lines>
  <Paragraphs>80</Paragraphs>
  <ScaleCrop>false</ScaleCrop>
  <Company/>
  <LinksUpToDate>false</LinksUpToDate>
  <CharactersWithSpaces>10220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2</cp:revision>
  <dcterms:created xsi:type="dcterms:W3CDTF">2026-10-16T01:37:00Z</dcterms:created>
  <dcterms:modified xsi:type="dcterms:W3CDTF">2026-10-16T01:38:00Z</dcterms:modified>
</cp:coreProperties>
</file>