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8B1E1E"/>
          <w:sz w:val="44"/>
          <w:szCs w:val="44"/>
        </w:rPr>
        <w:t xml:space="preserve">IL LADRO DI SABBIA</w:t>
      </w:r>
    </w:p>
    <w:p>
      <w:pPr>
        <w:spacing w:after="80"/>
        <w:jc w:val="center"/>
      </w:pPr>
      <w:r>
        <w:rPr>
          <w:color w:val="6B6B6B"/>
          <w:sz w:val="26"/>
          <w:szCs w:val="26"/>
        </w:rPr>
        <w:t xml:space="preserve">Elementi mancanti — tracker per iniziare lo sviluppo</w:t>
      </w:r>
    </w:p>
    <w:p>
      <w:pPr>
        <w:spacing w:after="300"/>
        <w:jc w:val="center"/>
      </w:pPr>
      <w:r>
        <w:rPr>
          <w:i/>
          <w:iCs/>
          <w:color w:val="6B6B6B"/>
          <w:sz w:val="20"/>
          <w:szCs w:val="20"/>
        </w:rPr>
        <w:t xml:space="preserve">Ultimo aggiornamento: 21 agosto 2026</w:t>
      </w:r>
    </w:p>
    <w:p>
      <w:pPr>
        <w:spacing w:after="200"/>
        <w:jc w:val="center"/>
      </w:pPr>
      <w:r>
        <w:rPr>
          <w:i/>
          <w:iCs/>
          <w:sz w:val="21"/>
          <w:szCs w:val="21"/>
        </w:rPr>
        <w:t xml:space="preserve">Documento vivo, separato dal design doc principale: raccoglie tutto cio' che manca prima di poter costruire il gioco in vibe coding, con lo stato di avanzamento di ciascuna voce. Aggiornalo (o chiedimi di aggiornarlo) ogni volta che una voce viene risolta.</w:t>
      </w:r>
    </w:p>
    <w:p>
      <w:pPr>
        <w:pStyle w:val="Heading2"/>
        <w:spacing w:after="120" w:before="260"/>
      </w:pPr>
      <w:r>
        <w:t xml:space="preserve">Legenda</w:t>
      </w:r>
    </w:p>
    <w:p>
      <w:pPr>
        <w:spacing w:after="80"/>
      </w:pPr>
      <w:r>
        <w:rPr>
          <w:b/>
          <w:bCs/>
          <w:color w:val="1E7B34"/>
          <w:sz w:val="20"/>
          <w:szCs w:val="20"/>
        </w:rPr>
        <w:t xml:space="preserve">RISOLTO</w:t>
      </w:r>
      <w:r>
        <w:rPr>
          <w:sz w:val="20"/>
          <w:szCs w:val="20"/>
        </w:rPr>
        <w:t xml:space="preserve">  la decisione e' presa ed e' scritta nel design doc e/o nel foglio Excel.</w:t>
      </w:r>
    </w:p>
    <w:p>
      <w:pPr>
        <w:spacing w:after="80"/>
      </w:pPr>
      <w:r>
        <w:rPr>
          <w:b/>
          <w:bCs/>
          <w:color w:val="B8860B"/>
          <w:sz w:val="20"/>
          <w:szCs w:val="20"/>
        </w:rPr>
        <w:t xml:space="preserve">RIMANDATO</w:t>
      </w:r>
      <w:r>
        <w:rPr>
          <w:sz w:val="20"/>
          <w:szCs w:val="20"/>
        </w:rPr>
        <w:t xml:space="preserve">  deciso di occuparsene in una fase successiva, non blocca l'inizio dello sviluppo del loop core.</w:t>
      </w:r>
    </w:p>
    <w:p>
      <w:pPr>
        <w:spacing w:after="240"/>
      </w:pPr>
      <w:r>
        <w:rPr>
          <w:b/>
          <w:bCs/>
          <w:color w:val="C0392B"/>
          <w:sz w:val="20"/>
          <w:szCs w:val="20"/>
        </w:rPr>
        <w:t xml:space="preserve">DA FARE</w:t>
      </w:r>
      <w:r>
        <w:rPr>
          <w:sz w:val="20"/>
          <w:szCs w:val="20"/>
        </w:rPr>
        <w:t xml:space="preserve">  ancora aperto, nessuna decisione presa.</w:t>
      </w:r>
    </w:p>
    <w:p>
      <w:pPr>
        <w:pStyle w:val="Heading1"/>
        <w:spacing w:after="160" w:before="360"/>
      </w:pPr>
      <w:r>
        <w:t xml:space="preserve">1. Decisioni tecniche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440"/>
      </w:tblGrid>
      <w:tr>
        <w:trPr>
          <w:tblHeader/>
        </w:trPr>
        <w:tc>
          <w:tcPr>
            <w:tcW w:type="dxa" w:w="2600"/>
            <w:shd w:fill="404040" w:val="clear"/>
            <w:tcMar>
              <w:top w:type="dxa" w:w="90"/>
              <w:left w:type="dxa" w:w="110"/>
              <w:bottom w:type="dxa" w:w="90"/>
              <w:right w:type="dxa" w:w="110"/>
            </w:tcMar>
          </w:tcPr>
          <w:p>
            <w:r>
              <w:rPr>
                <w:b/>
                <w:bCs/>
                <w:color w:val="FFFFFF"/>
                <w:sz w:val="20"/>
                <w:szCs w:val="20"/>
              </w:rPr>
              <w:t xml:space="preserve">Voce</w:t>
            </w:r>
          </w:p>
        </w:tc>
        <w:tc>
          <w:tcPr>
            <w:tcW w:type="dxa" w:w="1500"/>
            <w:shd w:fill="404040" w:val="clear"/>
            <w:tcMar>
              <w:top w:type="dxa" w:w="90"/>
              <w:left w:type="dxa" w:w="110"/>
              <w:bottom w:type="dxa" w:w="90"/>
              <w:right w:type="dxa" w:w="110"/>
            </w:tcMar>
          </w:tcPr>
          <w:p>
            <w:r>
              <w:rPr>
                <w:b/>
                <w:bCs/>
                <w:color w:val="FFFFFF"/>
                <w:sz w:val="20"/>
                <w:szCs w:val="20"/>
              </w:rPr>
              <w:t xml:space="preserve">Stato</w:t>
            </w:r>
          </w:p>
        </w:tc>
        <w:tc>
          <w:tcPr>
            <w:tcW w:type="dxa" w:w="5440"/>
            <w:shd w:fill="404040" w:val="clear"/>
            <w:tcMar>
              <w:top w:type="dxa" w:w="90"/>
              <w:left w:type="dxa" w:w="110"/>
              <w:bottom w:type="dxa" w:w="90"/>
              <w:right w:type="dxa" w:w="110"/>
            </w:tcMar>
          </w:tcPr>
          <w:p>
            <w:r>
              <w:rPr>
                <w:b/>
                <w:bCs/>
                <w:color w:val="FFFFFF"/>
                <w:sz w:val="20"/>
                <w:szCs w:val="20"/>
              </w:rPr>
              <w:t xml:space="preserve">Dettaglio / soluzione</w:t>
            </w:r>
          </w:p>
        </w:tc>
      </w:tr>
      <w:tr>
        <w:tc>
          <w:tcPr>
            <w:tcW w:type="dxa" w:w="2600"/>
            <w:shd w:fill="F2F2F2" w:val="clear"/>
            <w:tcMar>
              <w:top w:type="dxa" w:w="90"/>
              <w:left w:type="dxa" w:w="110"/>
              <w:bottom w:type="dxa" w:w="90"/>
              <w:right w:type="dxa" w:w="110"/>
            </w:tcMar>
          </w:tcPr>
          <w:p>
            <w:r>
              <w:rPr>
                <w:sz w:val="20"/>
                <w:szCs w:val="20"/>
              </w:rPr>
              <w:t xml:space="preserve">Motore di sviluppo</w:t>
            </w:r>
          </w:p>
        </w:tc>
        <w:tc>
          <w:tcPr>
            <w:tcW w:type="dxa" w:w="1500"/>
            <w:tcMar>
              <w:top w:type="dxa" w:w="90"/>
              <w:left w:type="dxa" w:w="110"/>
              <w:bottom w:type="dxa" w:w="90"/>
              <w:right w:type="dxa" w:w="110"/>
            </w:tcMar>
          </w:tcPr>
          <w:p>
            <w:r>
              <w:rPr>
                <w:b/>
                <w:bCs/>
                <w:color w:val="1E7B34"/>
                <w:sz w:val="20"/>
                <w:szCs w:val="20"/>
              </w:rPr>
              <w:t xml:space="preserve">RISOLTO</w:t>
            </w:r>
          </w:p>
        </w:tc>
        <w:tc>
          <w:tcPr>
            <w:tcW w:type="dxa" w:w="5440"/>
            <w:shd w:fill="F2F2F2" w:val="clear"/>
            <w:tcMar>
              <w:top w:type="dxa" w:w="90"/>
              <w:left w:type="dxa" w:w="110"/>
              <w:bottom w:type="dxa" w:w="90"/>
              <w:right w:type="dxa" w:w="110"/>
            </w:tcMar>
          </w:tcPr>
          <w:p>
            <w:r>
              <w:rPr>
                <w:sz w:val="20"/>
                <w:szCs w:val="20"/>
              </w:rPr>
              <w:t xml:space="preserve">Godot 4.x (GDScript). Gratuito per sempre (MIT, nessuna soglia di fatturato a differenza di Unity), pipeline 2D nativa per pixel art, linguaggio semplice e adatto al vibe coding. Alternativa valida: GameMaker (precedente diretto: Undertale, Hotline Miami).</w:t>
            </w:r>
          </w:p>
        </w:tc>
      </w:tr>
      <w:tr>
        <w:tc>
          <w:tcPr>
            <w:tcW w:type="dxa" w:w="2600"/>
            <w:tcMar>
              <w:top w:type="dxa" w:w="90"/>
              <w:left w:type="dxa" w:w="110"/>
              <w:bottom w:type="dxa" w:w="90"/>
              <w:right w:type="dxa" w:w="110"/>
            </w:tcMar>
          </w:tcPr>
          <w:p>
            <w:r>
              <w:rPr>
                <w:sz w:val="20"/>
                <w:szCs w:val="20"/>
              </w:rPr>
              <w:t xml:space="preserve">Persistenza dati tra le run</w:t>
            </w:r>
          </w:p>
        </w:tc>
        <w:tc>
          <w:tcPr>
            <w:tcW w:type="dxa" w:w="1500"/>
            <w:tcMar>
              <w:top w:type="dxa" w:w="90"/>
              <w:left w:type="dxa" w:w="110"/>
              <w:bottom w:type="dxa" w:w="90"/>
              <w:right w:type="dxa" w:w="110"/>
            </w:tcMar>
          </w:tcPr>
          <w:p>
            <w:r>
              <w:rPr>
                <w:b/>
                <w:bCs/>
                <w:color w:val="1E7B34"/>
                <w:sz w:val="20"/>
                <w:szCs w:val="20"/>
              </w:rPr>
              <w:t xml:space="preserve">RISOLTO</w:t>
            </w:r>
          </w:p>
        </w:tc>
        <w:tc>
          <w:tcPr>
            <w:tcW w:type="dxa" w:w="5440"/>
            <w:tcMar>
              <w:top w:type="dxa" w:w="90"/>
              <w:left w:type="dxa" w:w="110"/>
              <w:bottom w:type="dxa" w:w="90"/>
              <w:right w:type="dxa" w:w="110"/>
            </w:tcMar>
          </w:tcPr>
          <w:p>
            <w:r>
              <w:rPr>
                <w:sz w:val="20"/>
                <w:szCs w:val="20"/>
              </w:rPr>
              <w:t xml:space="preserve">Due sistemi separati: Stato di Run (effimero, solo in memoria, nessun salvataggio a metà run) e Profilo Persistente (file permanente con Karma, Rete di contatti sbloccati, achievement, livello di difficoltà, stato del mondo senza sabbia).</w:t>
            </w:r>
          </w:p>
        </w:tc>
      </w:tr>
      <w:tr>
        <w:tc>
          <w:tcPr>
            <w:tcW w:type="dxa" w:w="2600"/>
            <w:shd w:fill="F2F2F2" w:val="clear"/>
            <w:tcMar>
              <w:top w:type="dxa" w:w="90"/>
              <w:left w:type="dxa" w:w="110"/>
              <w:bottom w:type="dxa" w:w="90"/>
              <w:right w:type="dxa" w:w="110"/>
            </w:tcMar>
          </w:tcPr>
          <w:p>
            <w:r>
              <w:rPr>
                <w:sz w:val="20"/>
                <w:szCs w:val="20"/>
              </w:rPr>
              <w:t xml:space="preserve">Architettura del salvataggio</w:t>
            </w:r>
          </w:p>
        </w:tc>
        <w:tc>
          <w:tcPr>
            <w:tcW w:type="dxa" w:w="1500"/>
            <w:tcMar>
              <w:top w:type="dxa" w:w="90"/>
              <w:left w:type="dxa" w:w="110"/>
              <w:bottom w:type="dxa" w:w="90"/>
              <w:right w:type="dxa" w:w="110"/>
            </w:tcMar>
          </w:tcPr>
          <w:p>
            <w:r>
              <w:rPr>
                <w:b/>
                <w:bCs/>
                <w:color w:val="1E7B34"/>
                <w:sz w:val="20"/>
                <w:szCs w:val="20"/>
              </w:rPr>
              <w:t xml:space="preserve">RISOLTO</w:t>
            </w:r>
          </w:p>
        </w:tc>
        <w:tc>
          <w:tcPr>
            <w:tcW w:type="dxa" w:w="5440"/>
            <w:shd w:fill="F2F2F2" w:val="clear"/>
            <w:tcMar>
              <w:top w:type="dxa" w:w="90"/>
              <w:left w:type="dxa" w:w="110"/>
              <w:bottom w:type="dxa" w:w="90"/>
              <w:right w:type="dxa" w:w="110"/>
            </w:tcMar>
          </w:tcPr>
          <w:p>
            <w:r>
              <w:rPr>
                <w:sz w:val="20"/>
                <w:szCs w:val="20"/>
              </w:rPr>
              <w:t xml:space="preserve">Stessa soluzione del punto precedente: file di profilo semplice (JSON o ConfigFile di Godot), nessun salvataggio mid-run richiesto data la durata breve di una run.</w:t>
            </w:r>
          </w:p>
        </w:tc>
      </w:tr>
    </w:tbl>
    <w:p>
      <w:pPr>
        <w:pStyle w:val="Heading1"/>
        <w:spacing w:after="160" w:before="360"/>
      </w:pPr>
      <w:r>
        <w:t xml:space="preserve">2. Buchi di game-feel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440"/>
      </w:tblGrid>
      <w:tr>
        <w:trPr>
          <w:tblHeader/>
        </w:trPr>
        <w:tc>
          <w:tcPr>
            <w:tcW w:type="dxa" w:w="2600"/>
            <w:shd w:fill="404040" w:val="clear"/>
            <w:tcMar>
              <w:top w:type="dxa" w:w="90"/>
              <w:left w:type="dxa" w:w="110"/>
              <w:bottom w:type="dxa" w:w="90"/>
              <w:right w:type="dxa" w:w="110"/>
            </w:tcMar>
          </w:tcPr>
          <w:p>
            <w:r>
              <w:rPr>
                <w:b/>
                <w:bCs/>
                <w:color w:val="FFFFFF"/>
                <w:sz w:val="20"/>
                <w:szCs w:val="20"/>
              </w:rPr>
              <w:t xml:space="preserve">Voce</w:t>
            </w:r>
          </w:p>
        </w:tc>
        <w:tc>
          <w:tcPr>
            <w:tcW w:type="dxa" w:w="1500"/>
            <w:shd w:fill="404040" w:val="clear"/>
            <w:tcMar>
              <w:top w:type="dxa" w:w="90"/>
              <w:left w:type="dxa" w:w="110"/>
              <w:bottom w:type="dxa" w:w="90"/>
              <w:right w:type="dxa" w:w="110"/>
            </w:tcMar>
          </w:tcPr>
          <w:p>
            <w:r>
              <w:rPr>
                <w:b/>
                <w:bCs/>
                <w:color w:val="FFFFFF"/>
                <w:sz w:val="20"/>
                <w:szCs w:val="20"/>
              </w:rPr>
              <w:t xml:space="preserve">Stato</w:t>
            </w:r>
          </w:p>
        </w:tc>
        <w:tc>
          <w:tcPr>
            <w:tcW w:type="dxa" w:w="5440"/>
            <w:shd w:fill="404040" w:val="clear"/>
            <w:tcMar>
              <w:top w:type="dxa" w:w="90"/>
              <w:left w:type="dxa" w:w="110"/>
              <w:bottom w:type="dxa" w:w="90"/>
              <w:right w:type="dxa" w:w="110"/>
            </w:tcMar>
          </w:tcPr>
          <w:p>
            <w:r>
              <w:rPr>
                <w:b/>
                <w:bCs/>
                <w:color w:val="FFFFFF"/>
                <w:sz w:val="20"/>
                <w:szCs w:val="20"/>
              </w:rPr>
              <w:t xml:space="preserve">Dettaglio / soluzione</w:t>
            </w:r>
          </w:p>
        </w:tc>
      </w:tr>
      <w:tr>
        <w:tc>
          <w:tcPr>
            <w:tcW w:type="dxa" w:w="2600"/>
            <w:shd w:fill="F2F2F2" w:val="clear"/>
            <w:tcMar>
              <w:top w:type="dxa" w:w="90"/>
              <w:left w:type="dxa" w:w="110"/>
              <w:bottom w:type="dxa" w:w="90"/>
              <w:right w:type="dxa" w:w="110"/>
            </w:tcMar>
          </w:tcPr>
          <w:p>
            <w:r>
              <w:rPr>
                <w:sz w:val="20"/>
                <w:szCs w:val="20"/>
              </w:rPr>
              <w:t xml:space="preserve">Come si risolve il Rischio% in gioco</w:t>
            </w:r>
          </w:p>
        </w:tc>
        <w:tc>
          <w:tcPr>
            <w:tcW w:type="dxa" w:w="1500"/>
            <w:tcMar>
              <w:top w:type="dxa" w:w="90"/>
              <w:left w:type="dxa" w:w="110"/>
              <w:bottom w:type="dxa" w:w="90"/>
              <w:right w:type="dxa" w:w="110"/>
            </w:tcMar>
          </w:tcPr>
          <w:p>
            <w:r>
              <w:rPr>
                <w:b/>
                <w:bCs/>
                <w:color w:val="1E7B34"/>
                <w:sz w:val="20"/>
                <w:szCs w:val="20"/>
              </w:rPr>
              <w:t xml:space="preserve">RISOLTO</w:t>
            </w:r>
          </w:p>
        </w:tc>
        <w:tc>
          <w:tcPr>
            <w:tcW w:type="dxa" w:w="5440"/>
            <w:shd w:fill="F2F2F2" w:val="clear"/>
            <w:tcMar>
              <w:top w:type="dxa" w:w="90"/>
              <w:left w:type="dxa" w:w="110"/>
              <w:bottom w:type="dxa" w:w="90"/>
              <w:right w:type="dxa" w:w="110"/>
            </w:tcMar>
          </w:tcPr>
          <w:p>
            <w:r>
              <w:rPr>
                <w:sz w:val="20"/>
                <w:szCs w:val="20"/>
              </w:rPr>
              <w:t xml:space="preserve">Sistema a tiro di dado d20: soglia di fallimento = Rischio% x 20, tiro 1d20. Vantaggio/Svantaggio (2d20, meglio/peggio dei due) per fattori situazionali grandi. Bonus/Malus numerici (+1/+2/+3, fino a ±5) si sommano al tiro per fattori incrementali più piccoli (rango di traccia, oggetto minore, risorsa a soglia intermedia, livello di difficoltà). I due sistemi si combinano: si applica Vantaggio/Svantaggio per scegliere il dado, poi si sommano i Bonus/Malus al risultato. Naturale 20 = successo critico automatico, naturale 1 = fallimento critico, indipendentemente dai modificatori. Oggetti (armi, giubbotti, documenti falsi, informazioni comprate) danno Vantaggio situazionale; le risorse esistenti si agganciano da sole (Attenzione Polizia alta = Svantaggio su azioni illegali, ecc.).</w:t>
            </w:r>
          </w:p>
        </w:tc>
      </w:tr>
      <w:tr>
        <w:tc>
          <w:tcPr>
            <w:tcW w:type="dxa" w:w="2600"/>
            <w:tcMar>
              <w:top w:type="dxa" w:w="90"/>
              <w:left w:type="dxa" w:w="110"/>
              <w:bottom w:type="dxa" w:w="90"/>
              <w:right w:type="dxa" w:w="110"/>
            </w:tcMar>
          </w:tcPr>
          <w:p>
            <w:r>
              <w:rPr>
                <w:sz w:val="20"/>
                <w:szCs w:val="20"/>
              </w:rPr>
              <w:t xml:space="preserve">Cosa succede a un'azione fallita</w:t>
            </w:r>
          </w:p>
        </w:tc>
        <w:tc>
          <w:tcPr>
            <w:tcW w:type="dxa" w:w="1500"/>
            <w:tcMar>
              <w:top w:type="dxa" w:w="90"/>
              <w:left w:type="dxa" w:w="110"/>
              <w:bottom w:type="dxa" w:w="90"/>
              <w:right w:type="dxa" w:w="110"/>
            </w:tcMar>
          </w:tcPr>
          <w:p>
            <w:r>
              <w:rPr>
                <w:b/>
                <w:bCs/>
                <w:color w:val="1E7B34"/>
                <w:sz w:val="20"/>
                <w:szCs w:val="20"/>
              </w:rPr>
              <w:t xml:space="preserve">RISOLTO</w:t>
            </w:r>
          </w:p>
        </w:tc>
        <w:tc>
          <w:tcPr>
            <w:tcW w:type="dxa" w:w="5440"/>
            <w:tcMar>
              <w:top w:type="dxa" w:w="90"/>
              <w:left w:type="dxa" w:w="110"/>
              <w:bottom w:type="dxa" w:w="90"/>
              <w:right w:type="dxa" w:w="110"/>
            </w:tcMar>
          </w:tcPr>
          <w:p>
            <w:r>
              <w:rPr>
                <w:sz w:val="20"/>
                <w:szCs w:val="20"/>
              </w:rPr>
              <w:t xml:space="preserve">Fallimento normale: si perde il tempo speso (nessun rimborso) e non si ottiene l'effetto in Sabbia-Padre; se l'azione era illegale, piccolo aumento della risorsa di rischio pertinente (Attenzione Polizia o Rivalità Criminale). Fallimento critico (naturale 1): stesso, ma con aumento maggiorato o un piccolo evento negativo aggiuntivo.</w:t>
            </w:r>
          </w:p>
        </w:tc>
      </w:tr>
      <w:tr>
        <w:tc>
          <w:tcPr>
            <w:tcW w:type="dxa" w:w="2600"/>
            <w:shd w:fill="F2F2F2" w:val="clear"/>
            <w:tcMar>
              <w:top w:type="dxa" w:w="90"/>
              <w:left w:type="dxa" w:w="110"/>
              <w:bottom w:type="dxa" w:w="90"/>
              <w:right w:type="dxa" w:w="110"/>
            </w:tcMar>
          </w:tcPr>
          <w:p>
            <w:r>
              <w:rPr>
                <w:sz w:val="20"/>
                <w:szCs w:val="20"/>
              </w:rPr>
              <w:t xml:space="preserve">UI per 5 risorse + doppio countdown</w:t>
            </w:r>
          </w:p>
        </w:tc>
        <w:tc>
          <w:tcPr>
            <w:tcW w:type="dxa" w:w="1500"/>
            <w:tcMar>
              <w:top w:type="dxa" w:w="90"/>
              <w:left w:type="dxa" w:w="110"/>
              <w:bottom w:type="dxa" w:w="90"/>
              <w:right w:type="dxa" w:w="110"/>
            </w:tcMar>
          </w:tcPr>
          <w:p>
            <w:r>
              <w:rPr>
                <w:b/>
                <w:bCs/>
                <w:color w:val="C0392B"/>
                <w:sz w:val="20"/>
                <w:szCs w:val="20"/>
              </w:rPr>
              <w:t xml:space="preserve">DA FARE</w:t>
            </w:r>
          </w:p>
        </w:tc>
        <w:tc>
          <w:tcPr>
            <w:tcW w:type="dxa" w:w="5440"/>
            <w:shd w:fill="F2F2F2" w:val="clear"/>
            <w:tcMar>
              <w:top w:type="dxa" w:w="90"/>
              <w:left w:type="dxa" w:w="110"/>
              <w:bottom w:type="dxa" w:w="90"/>
              <w:right w:type="dxa" w:w="110"/>
            </w:tcMar>
          </w:tcPr>
          <w:p>
            <w:r>
              <w:rPr>
                <w:sz w:val="20"/>
                <w:szCs w:val="20"/>
              </w:rPr>
              <w:t xml:space="preserve">Tutte sempre visibili rischia di affollare lo schermo. Probabile soluzione: doppio countdown sempre visibile, le 5 risorse in un pannello richiamabile - ma va deciso e prototipato visivamente, non solo su carta.</w:t>
            </w:r>
          </w:p>
        </w:tc>
      </w:tr>
    </w:tbl>
    <w:p>
      <w:pPr>
        <w:pStyle w:val="Heading1"/>
        <w:spacing w:after="160" w:before="360"/>
      </w:pPr>
      <w:r>
        <w:t xml:space="preserve">3. Contenuti narrativi non scritti</w:t>
      </w:r>
    </w:p>
    <w:p>
      <w:pPr>
        <w:spacing w:after="200"/>
      </w:pPr>
      <w:r>
        <w:rPr>
          <w:i/>
          <w:iCs/>
          <w:color w:val="6B6B6B"/>
          <w:sz w:val="20"/>
          <w:szCs w:val="20"/>
        </w:rPr>
        <w:t xml:space="preserve">Rimandato in blocco su richiesta esplicita: non blocca l'inizio dello sviluppo del loop core.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440"/>
      </w:tblGrid>
      <w:tr>
        <w:trPr>
          <w:tblHeader/>
        </w:trPr>
        <w:tc>
          <w:tcPr>
            <w:tcW w:type="dxa" w:w="2600"/>
            <w:shd w:fill="404040" w:val="clear"/>
            <w:tcMar>
              <w:top w:type="dxa" w:w="90"/>
              <w:left w:type="dxa" w:w="110"/>
              <w:bottom w:type="dxa" w:w="90"/>
              <w:right w:type="dxa" w:w="110"/>
            </w:tcMar>
          </w:tcPr>
          <w:p>
            <w:r>
              <w:rPr>
                <w:b/>
                <w:bCs/>
                <w:color w:val="FFFFFF"/>
                <w:sz w:val="20"/>
                <w:szCs w:val="20"/>
              </w:rPr>
              <w:t xml:space="preserve">Voce</w:t>
            </w:r>
          </w:p>
        </w:tc>
        <w:tc>
          <w:tcPr>
            <w:tcW w:type="dxa" w:w="1500"/>
            <w:shd w:fill="404040" w:val="clear"/>
            <w:tcMar>
              <w:top w:type="dxa" w:w="90"/>
              <w:left w:type="dxa" w:w="110"/>
              <w:bottom w:type="dxa" w:w="90"/>
              <w:right w:type="dxa" w:w="110"/>
            </w:tcMar>
          </w:tcPr>
          <w:p>
            <w:r>
              <w:rPr>
                <w:b/>
                <w:bCs/>
                <w:color w:val="FFFFFF"/>
                <w:sz w:val="20"/>
                <w:szCs w:val="20"/>
              </w:rPr>
              <w:t xml:space="preserve">Stato</w:t>
            </w:r>
          </w:p>
        </w:tc>
        <w:tc>
          <w:tcPr>
            <w:tcW w:type="dxa" w:w="5440"/>
            <w:shd w:fill="404040" w:val="clear"/>
            <w:tcMar>
              <w:top w:type="dxa" w:w="90"/>
              <w:left w:type="dxa" w:w="110"/>
              <w:bottom w:type="dxa" w:w="90"/>
              <w:right w:type="dxa" w:w="110"/>
            </w:tcMar>
          </w:tcPr>
          <w:p>
            <w:r>
              <w:rPr>
                <w:b/>
                <w:bCs/>
                <w:color w:val="FFFFFF"/>
                <w:sz w:val="20"/>
                <w:szCs w:val="20"/>
              </w:rPr>
              <w:t xml:space="preserve">Dettaglio / soluzione</w:t>
            </w:r>
          </w:p>
        </w:tc>
      </w:tr>
      <w:tr>
        <w:tc>
          <w:tcPr>
            <w:tcW w:type="dxa" w:w="2600"/>
            <w:shd w:fill="F2F2F2" w:val="clear"/>
            <w:tcMar>
              <w:top w:type="dxa" w:w="90"/>
              <w:left w:type="dxa" w:w="110"/>
              <w:bottom w:type="dxa" w:w="90"/>
              <w:right w:type="dxa" w:w="110"/>
            </w:tcMar>
          </w:tcPr>
          <w:p>
            <w:r>
              <w:rPr>
                <w:sz w:val="20"/>
                <w:szCs w:val="20"/>
              </w:rPr>
              <w:t xml:space="preserve">Nomi propri (protagonista, figlia, moglie, città, organizzazione)</w:t>
            </w:r>
          </w:p>
        </w:tc>
        <w:tc>
          <w:tcPr>
            <w:tcW w:type="dxa" w:w="1500"/>
            <w:tcMar>
              <w:top w:type="dxa" w:w="90"/>
              <w:left w:type="dxa" w:w="110"/>
              <w:bottom w:type="dxa" w:w="90"/>
              <w:right w:type="dxa" w:w="110"/>
            </w:tcMar>
          </w:tcPr>
          <w:p>
            <w:r>
              <w:rPr>
                <w:b/>
                <w:bCs/>
                <w:color w:val="B8860B"/>
                <w:sz w:val="20"/>
                <w:szCs w:val="20"/>
              </w:rPr>
              <w:t xml:space="preserve">RIMANDATO</w:t>
            </w:r>
          </w:p>
        </w:tc>
        <w:tc>
          <w:tcPr>
            <w:tcW w:type="dxa" w:w="5440"/>
            <w:shd w:fill="F2F2F2" w:val="clear"/>
            <w:tcMar>
              <w:top w:type="dxa" w:w="90"/>
              <w:left w:type="dxa" w:w="110"/>
              <w:bottom w:type="dxa" w:w="90"/>
              <w:right w:type="dxa" w:w="110"/>
            </w:tcMar>
          </w:tcPr>
          <w:p>
            <w:r>
              <w:rPr>
                <w:sz w:val="20"/>
                <w:szCs w:val="20"/>
              </w:rPr>
              <w:t xml:space="preserve">Da scrivere quando si passa dal loop core ai contenuti narrativi.</w:t>
            </w:r>
          </w:p>
        </w:tc>
      </w:tr>
      <w:tr>
        <w:tc>
          <w:tcPr>
            <w:tcW w:type="dxa" w:w="2600"/>
            <w:tcMar>
              <w:top w:type="dxa" w:w="90"/>
              <w:left w:type="dxa" w:w="110"/>
              <w:bottom w:type="dxa" w:w="90"/>
              <w:right w:type="dxa" w:w="110"/>
            </w:tcMar>
          </w:tcPr>
          <w:p>
            <w:r>
              <w:rPr>
                <w:sz w:val="20"/>
                <w:szCs w:val="20"/>
              </w:rPr>
              <w:t xml:space="preserve">"Il tesoro del vecchio boss" incompatibile con la regola della sabbia</w:t>
            </w:r>
          </w:p>
        </w:tc>
        <w:tc>
          <w:tcPr>
            <w:tcW w:type="dxa" w:w="1500"/>
            <w:tcMar>
              <w:top w:type="dxa" w:w="90"/>
              <w:left w:type="dxa" w:w="110"/>
              <w:bottom w:type="dxa" w:w="90"/>
              <w:right w:type="dxa" w:w="110"/>
            </w:tcMar>
          </w:tcPr>
          <w:p>
            <w:r>
              <w:rPr>
                <w:b/>
                <w:bCs/>
                <w:color w:val="B8860B"/>
                <w:sz w:val="20"/>
                <w:szCs w:val="20"/>
              </w:rPr>
              <w:t xml:space="preserve">RIMANDATO</w:t>
            </w:r>
          </w:p>
        </w:tc>
        <w:tc>
          <w:tcPr>
            <w:tcW w:type="dxa" w:w="5440"/>
            <w:tcMar>
              <w:top w:type="dxa" w:w="90"/>
              <w:left w:type="dxa" w:w="110"/>
              <w:bottom w:type="dxa" w:w="90"/>
              <w:right w:type="dxa" w:w="110"/>
            </w:tcMar>
          </w:tcPr>
          <w:p>
            <w:r>
              <w:rPr>
                <w:sz w:val="20"/>
                <w:szCs w:val="20"/>
              </w:rPr>
              <w:t xml:space="preserve">Stesso problema già risolto per "Il registro dei non reclamati" -&gt; "L'ultima donazione": va riscritta con la stessa logica (sabbia affidata a una persona di fiducia, non nascosta fisicamente).</w:t>
            </w:r>
          </w:p>
        </w:tc>
      </w:tr>
      <w:tr>
        <w:tc>
          <w:tcPr>
            <w:tcW w:type="dxa" w:w="2600"/>
            <w:shd w:fill="F2F2F2" w:val="clear"/>
            <w:tcMar>
              <w:top w:type="dxa" w:w="90"/>
              <w:left w:type="dxa" w:w="110"/>
              <w:bottom w:type="dxa" w:w="90"/>
              <w:right w:type="dxa" w:w="110"/>
            </w:tcMar>
          </w:tcPr>
          <w:p>
            <w:r>
              <w:rPr>
                <w:sz w:val="20"/>
                <w:szCs w:val="20"/>
              </w:rPr>
              <w:t xml:space="preserve">Esempi concreti dei patti con lo Stregatto</w:t>
            </w:r>
          </w:p>
        </w:tc>
        <w:tc>
          <w:tcPr>
            <w:tcW w:type="dxa" w:w="1500"/>
            <w:tcMar>
              <w:top w:type="dxa" w:w="90"/>
              <w:left w:type="dxa" w:w="110"/>
              <w:bottom w:type="dxa" w:w="90"/>
              <w:right w:type="dxa" w:w="110"/>
            </w:tcMar>
          </w:tcPr>
          <w:p>
            <w:r>
              <w:rPr>
                <w:b/>
                <w:bCs/>
                <w:color w:val="B8860B"/>
                <w:sz w:val="20"/>
                <w:szCs w:val="20"/>
              </w:rPr>
              <w:t xml:space="preserve">RIMANDATO</w:t>
            </w:r>
          </w:p>
        </w:tc>
        <w:tc>
          <w:tcPr>
            <w:tcW w:type="dxa" w:w="5440"/>
            <w:shd w:fill="F2F2F2" w:val="clear"/>
            <w:tcMar>
              <w:top w:type="dxa" w:w="90"/>
              <w:left w:type="dxa" w:w="110"/>
              <w:bottom w:type="dxa" w:w="90"/>
              <w:right w:type="dxa" w:w="110"/>
            </w:tcMar>
          </w:tcPr>
          <w:p>
            <w:r>
              <w:rPr>
                <w:sz w:val="20"/>
                <w:szCs w:val="20"/>
              </w:rPr>
              <w:t xml:space="preserve">Servono almeno 2-3 patti scritti per esteso per dare il tono del personaggio.</w:t>
            </w:r>
          </w:p>
        </w:tc>
      </w:tr>
      <w:tr>
        <w:tc>
          <w:tcPr>
            <w:tcW w:type="dxa" w:w="2600"/>
            <w:tcMar>
              <w:top w:type="dxa" w:w="90"/>
              <w:left w:type="dxa" w:w="110"/>
              <w:bottom w:type="dxa" w:w="90"/>
              <w:right w:type="dxa" w:w="110"/>
            </w:tcMar>
          </w:tcPr>
          <w:p>
            <w:r>
              <w:rPr>
                <w:sz w:val="20"/>
                <w:szCs w:val="20"/>
              </w:rPr>
              <w:t xml:space="preserve">Cosa fa scattare l'intervento degli Eterni</w:t>
            </w:r>
          </w:p>
        </w:tc>
        <w:tc>
          <w:tcPr>
            <w:tcW w:type="dxa" w:w="1500"/>
            <w:tcMar>
              <w:top w:type="dxa" w:w="90"/>
              <w:left w:type="dxa" w:w="110"/>
              <w:bottom w:type="dxa" w:w="90"/>
              <w:right w:type="dxa" w:w="110"/>
            </w:tcMar>
          </w:tcPr>
          <w:p>
            <w:r>
              <w:rPr>
                <w:b/>
                <w:bCs/>
                <w:color w:val="B8860B"/>
                <w:sz w:val="20"/>
                <w:szCs w:val="20"/>
              </w:rPr>
              <w:t xml:space="preserve">RIMANDATO</w:t>
            </w:r>
          </w:p>
        </w:tc>
        <w:tc>
          <w:tcPr>
            <w:tcW w:type="dxa" w:w="5440"/>
            <w:tcMar>
              <w:top w:type="dxa" w:w="90"/>
              <w:left w:type="dxa" w:w="110"/>
              <w:bottom w:type="dxa" w:w="90"/>
              <w:right w:type="dxa" w:w="110"/>
            </w:tcMar>
          </w:tcPr>
          <w:p>
            <w:r>
              <w:rPr>
                <w:sz w:val="20"/>
                <w:szCs w:val="20"/>
              </w:rPr>
              <w:t xml:space="preserve">Scelta specifica del giocatore? Esito di una catena di quest? Evento raro? Da decidere.</w:t>
            </w:r>
          </w:p>
        </w:tc>
      </w:tr>
      <w:tr>
        <w:tc>
          <w:tcPr>
            <w:tcW w:type="dxa" w:w="2600"/>
            <w:shd w:fill="F2F2F2" w:val="clear"/>
            <w:tcMar>
              <w:top w:type="dxa" w:w="90"/>
              <w:left w:type="dxa" w:w="110"/>
              <w:bottom w:type="dxa" w:w="90"/>
              <w:right w:type="dxa" w:w="110"/>
            </w:tcMar>
          </w:tcPr>
          <w:p>
            <w:r>
              <w:rPr>
                <w:sz w:val="20"/>
                <w:szCs w:val="20"/>
              </w:rPr>
              <w:t xml:space="preserve">Nome della casata aristocratica (sottotrama 6.7)</w:t>
            </w:r>
          </w:p>
        </w:tc>
        <w:tc>
          <w:tcPr>
            <w:tcW w:type="dxa" w:w="1500"/>
            <w:tcMar>
              <w:top w:type="dxa" w:w="90"/>
              <w:left w:type="dxa" w:w="110"/>
              <w:bottom w:type="dxa" w:w="90"/>
              <w:right w:type="dxa" w:w="110"/>
            </w:tcMar>
          </w:tcPr>
          <w:p>
            <w:r>
              <w:rPr>
                <w:b/>
                <w:bCs/>
                <w:color w:val="B8860B"/>
                <w:sz w:val="20"/>
                <w:szCs w:val="20"/>
              </w:rPr>
              <w:t xml:space="preserve">RIMANDATO</w:t>
            </w:r>
          </w:p>
        </w:tc>
        <w:tc>
          <w:tcPr>
            <w:tcW w:type="dxa" w:w="5440"/>
            <w:shd w:fill="F2F2F2" w:val="clear"/>
            <w:tcMar>
              <w:top w:type="dxa" w:w="90"/>
              <w:left w:type="dxa" w:w="110"/>
              <w:bottom w:type="dxa" w:w="90"/>
              <w:right w:type="dxa" w:w="110"/>
            </w:tcMar>
          </w:tcPr>
          <w:p>
            <w:r>
              <w:rPr>
                <w:sz w:val="20"/>
                <w:szCs w:val="20"/>
              </w:rPr>
              <w:t xml:space="preserve"/>
            </w:r>
          </w:p>
        </w:tc>
      </w:tr>
    </w:tbl>
    <w:p>
      <w:pPr>
        <w:pStyle w:val="Heading1"/>
        <w:spacing w:after="160" w:before="360"/>
      </w:pPr>
      <w:r>
        <w:t xml:space="preserve">4. Tuning finale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440"/>
      </w:tblGrid>
      <w:tr>
        <w:trPr>
          <w:tblHeader/>
        </w:trPr>
        <w:tc>
          <w:tcPr>
            <w:tcW w:type="dxa" w:w="2600"/>
            <w:shd w:fill="404040" w:val="clear"/>
            <w:tcMar>
              <w:top w:type="dxa" w:w="90"/>
              <w:left w:type="dxa" w:w="110"/>
              <w:bottom w:type="dxa" w:w="90"/>
              <w:right w:type="dxa" w:w="110"/>
            </w:tcMar>
          </w:tcPr>
          <w:p>
            <w:r>
              <w:rPr>
                <w:b/>
                <w:bCs/>
                <w:color w:val="FFFFFF"/>
                <w:sz w:val="20"/>
                <w:szCs w:val="20"/>
              </w:rPr>
              <w:t xml:space="preserve">Voce</w:t>
            </w:r>
          </w:p>
        </w:tc>
        <w:tc>
          <w:tcPr>
            <w:tcW w:type="dxa" w:w="1500"/>
            <w:shd w:fill="404040" w:val="clear"/>
            <w:tcMar>
              <w:top w:type="dxa" w:w="90"/>
              <w:left w:type="dxa" w:w="110"/>
              <w:bottom w:type="dxa" w:w="90"/>
              <w:right w:type="dxa" w:w="110"/>
            </w:tcMar>
          </w:tcPr>
          <w:p>
            <w:r>
              <w:rPr>
                <w:b/>
                <w:bCs/>
                <w:color w:val="FFFFFF"/>
                <w:sz w:val="20"/>
                <w:szCs w:val="20"/>
              </w:rPr>
              <w:t xml:space="preserve">Stato</w:t>
            </w:r>
          </w:p>
        </w:tc>
        <w:tc>
          <w:tcPr>
            <w:tcW w:type="dxa" w:w="5440"/>
            <w:shd w:fill="404040" w:val="clear"/>
            <w:tcMar>
              <w:top w:type="dxa" w:w="90"/>
              <w:left w:type="dxa" w:w="110"/>
              <w:bottom w:type="dxa" w:w="90"/>
              <w:right w:type="dxa" w:w="110"/>
            </w:tcMar>
          </w:tcPr>
          <w:p>
            <w:r>
              <w:rPr>
                <w:b/>
                <w:bCs/>
                <w:color w:val="FFFFFF"/>
                <w:sz w:val="20"/>
                <w:szCs w:val="20"/>
              </w:rPr>
              <w:t xml:space="preserve">Dettaglio / soluzione</w:t>
            </w:r>
          </w:p>
        </w:tc>
      </w:tr>
      <w:tr>
        <w:tc>
          <w:tcPr>
            <w:tcW w:type="dxa" w:w="2600"/>
            <w:shd w:fill="F2F2F2" w:val="clear"/>
            <w:tcMar>
              <w:top w:type="dxa" w:w="90"/>
              <w:left w:type="dxa" w:w="110"/>
              <w:bottom w:type="dxa" w:w="90"/>
              <w:right w:type="dxa" w:w="110"/>
            </w:tcMar>
          </w:tcPr>
          <w:p>
            <w:r>
              <w:rPr>
                <w:sz w:val="20"/>
                <w:szCs w:val="20"/>
              </w:rPr>
              <w:t xml:space="preserve">Valori economici di tracce e sottotrame</w:t>
            </w:r>
          </w:p>
        </w:tc>
        <w:tc>
          <w:tcPr>
            <w:tcW w:type="dxa" w:w="1500"/>
            <w:tcMar>
              <w:top w:type="dxa" w:w="90"/>
              <w:left w:type="dxa" w:w="110"/>
              <w:bottom w:type="dxa" w:w="90"/>
              <w:right w:type="dxa" w:w="110"/>
            </w:tcMar>
          </w:tcPr>
          <w:p>
            <w:r>
              <w:rPr>
                <w:b/>
                <w:bCs/>
                <w:color w:val="1E7B34"/>
                <w:sz w:val="20"/>
                <w:szCs w:val="20"/>
              </w:rPr>
              <w:t xml:space="preserve">RISOLTO</w:t>
            </w:r>
          </w:p>
        </w:tc>
        <w:tc>
          <w:tcPr>
            <w:tcW w:type="dxa" w:w="5440"/>
            <w:shd w:fill="F2F2F2" w:val="clear"/>
            <w:tcMar>
              <w:top w:type="dxa" w:w="90"/>
              <w:left w:type="dxa" w:w="110"/>
              <w:bottom w:type="dxa" w:w="90"/>
              <w:right w:type="dxa" w:w="110"/>
            </w:tcMar>
          </w:tcPr>
          <w:p>
            <w:r>
              <w:rPr>
                <w:sz w:val="20"/>
                <w:szCs w:val="20"/>
              </w:rPr>
              <w:t xml:space="preserve">Ancorati a dati reali dove disponibili (schemi di appropriazione indebita dirigenziale/bancaria: perdita mediana 337.000$ per singolo caso fino a 5,4M$ su schemi decennali - fonti ACFE, Hiscox, BERO Group) e a stime per ordine di grandezza da casi documentati per il resto (criminalità organizzata, corruzione politica, bische clandestine, frodi religiose), dichiarate esplicitamente come tali. Foglio Excel, tab "Endgame", aggiornato.</w:t>
            </w:r>
          </w:p>
        </w:tc>
      </w:tr>
      <w:tr>
        <w:tc>
          <w:tcPr>
            <w:tcW w:type="dxa" w:w="2600"/>
            <w:tcMar>
              <w:top w:type="dxa" w:w="90"/>
              <w:left w:type="dxa" w:w="110"/>
              <w:bottom w:type="dxa" w:w="90"/>
              <w:right w:type="dxa" w:w="110"/>
            </w:tcMar>
          </w:tcPr>
          <w:p>
            <w:r>
              <w:rPr>
                <w:sz w:val="20"/>
                <w:szCs w:val="20"/>
              </w:rPr>
              <w:t xml:space="preserve">Tenuta del traguardo dei 200 anni dopo il tuning</w:t>
            </w:r>
          </w:p>
        </w:tc>
        <w:tc>
          <w:tcPr>
            <w:tcW w:type="dxa" w:w="1500"/>
            <w:tcMar>
              <w:top w:type="dxa" w:w="90"/>
              <w:left w:type="dxa" w:w="110"/>
              <w:bottom w:type="dxa" w:w="90"/>
              <w:right w:type="dxa" w:w="110"/>
            </w:tcMar>
          </w:tcPr>
          <w:p>
            <w:r>
              <w:rPr>
                <w:b/>
                <w:bCs/>
                <w:color w:val="1E7B34"/>
                <w:sz w:val="20"/>
                <w:szCs w:val="20"/>
              </w:rPr>
              <w:t xml:space="preserve">RISOLTO</w:t>
            </w:r>
          </w:p>
        </w:tc>
        <w:tc>
          <w:tcPr>
            <w:tcW w:type="dxa" w:w="5440"/>
            <w:tcMar>
              <w:top w:type="dxa" w:w="90"/>
              <w:left w:type="dxa" w:w="110"/>
              <w:bottom w:type="dxa" w:w="90"/>
              <w:right w:type="dxa" w:w="110"/>
            </w:tcMar>
          </w:tcPr>
          <w:p>
            <w:r>
              <w:rPr>
                <w:sz w:val="20"/>
                <w:szCs w:val="20"/>
              </w:rPr>
              <w:t xml:space="preserve">Verificato: la combo ottima (Azzardo + Bancaria + Religiosa + sinergia) rende ora ~206,9 anni, praticamente invariata rispetto agli ~208 anni pre-tuning (differenza dovuta solo agli arrotondamenti in euro). Tetto confermato, nessuna nuova simulazione necessaria.</w:t>
            </w:r>
          </w:p>
          <w:p>
            <w:r>
              <w:t>NOTA (Fase 10, implementazione Godot): quel ~206,9 anni era ancora il numero del foglio Excel storico, da un modello semplificato precedente alla costruzione del vero sistema a due ranghi (dove anche il Rango 1 di ogni traccia, non solo il Rango 2, ha un guadagno economico proprio) — due modelli diversi che non devono più coincidere. Il tetto definitivo, calcolato con la meccanica a due ranghi effettivamente implementata (azioni + tracce + sottotrame + sinergie), è 265,55 anni: vedi design doc, sezione 7.4, e CLAUDE.md, "Fase 10 — verifica e correzione cash-in".</w:t>
            </w:r>
          </w:p>
        </w:tc>
      </w:tr>
    </w:tbl>
    <w:p>
      <w:pPr>
        <w:pStyle w:val="Heading1"/>
        <w:spacing w:after="160" w:before="360"/>
      </w:pPr>
      <w:r>
        <w:t xml:space="preserve">5. Prossimo passo consigliato</w:t>
      </w:r>
    </w:p>
    <w:p>
      <w:pPr>
        <w:spacing w:after="160"/>
      </w:pPr>
      <w:r>
        <w:t xml:space="preserve">Con le sezioni 1, 2 e 4 risolte, il loop core (61 azioni, doppio countdown, sistema d20, donazione finale) ha ormai tutto il necessario per un primo prototipo in Godot. La sezione 3 (contenuti narrativi) resta volutamente aperta e non blocca l'inizio: può essere scritta in parallelo o dopo aver validato che il loop "si sente" giusto.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8B1E1E"/>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2026-08-21T21:38:45.145Z</dcterms:created>
  <dcterms:modified xsi:type="dcterms:W3CDTF">2026-08-21T21:38:45.145Z</dcterms:modified>
</cp:coreProperties>
</file>

<file path=docProps/custom.xml><?xml version="1.0" encoding="utf-8"?>
<Properties xmlns="http://schemas.openxmlformats.org/officeDocument/2006/custom-properties" xmlns:vt="http://schemas.openxmlformats.org/officeDocument/2006/docPropsVTypes"/>
</file>