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 sa chi è e dove trovarlo. Il protagonista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rPr>
          <w:b/>
          <w:bCs/>
        </w:rPr>
        <w:t xml:space="preserve">Karma (l'UNICA risorsa persistente tra le run): </w:t>
      </w:r>
      <w:r>
        <w:t xml:space="preserve">aumenta con le azioni immorali (usando il peso già presente nella colonna Moralità delle azioni: Ambigua +1, Sporca +2, Molto sporca +3, Estrema +5) e alza la frequenza e la gravità degli eventi negativi casuali. È esattamente ciò che intende la voce della madre defunta nei loading screen quando dice che "la sabbia non dimentica": il Karma accumulato in una run resta anche nelle successive. Un patto con lo Stregatto (sezione 9) può ridurlo, a un prezzo alto.</w:t>
      </w:r>
    </w:p>
    <w:p>
      <w:pPr>
        <w:spacing w:after="120"/>
      </w:pPr>
      <w:r>
        <w:rPr>
          <w:b/>
          <w:bCs/>
        </w:rPr>
        <w:t xml:space="preserve">Fede (locale, una per traccia religiosa): </w:t>
      </w:r>
      <w:r>
        <w:t xml:space="preserve">Fede del Culto e Fede della Setta sono due risorse separate e in tensione tra loro — salire nell'una danneggia l'altra. Governano l'avanzamento di rango nelle tracce Religiosa e Occulto.</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 xml:space="preserve">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 xml:space="preserve">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60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