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RESTORED BY GRACE: The Good Hand of God</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Ezra 7:11-28</w:t>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ever been asked to do something that made you think, “I don't know if I have what it takes to do this”?  Most of us know that feeling. We look at what is in front of us, and then we think about what is within us, and there seems to be a gap.  The assignment looks bigger than our ability.</w:t>
      </w:r>
    </w:p>
    <w:p w:rsidR="00000000" w:rsidDel="00000000" w:rsidP="00000000" w:rsidRDefault="00000000" w:rsidRPr="00000000" w14:paraId="00000005">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that, it is easy to imagine Ezra looking at everything in front of him and asking, </w:t>
      </w:r>
      <w:r w:rsidDel="00000000" w:rsidR="00000000" w:rsidRPr="00000000">
        <w:rPr>
          <w:rFonts w:ascii="Times New Roman" w:cs="Times New Roman" w:eastAsia="Times New Roman" w:hAnsi="Times New Roman"/>
          <w:sz w:val="24"/>
          <w:szCs w:val="24"/>
          <w:rtl w:val="0"/>
        </w:rPr>
        <w:t xml:space="preserve">“Do I really have what it takes to do this?”  The main point we will see today in this passage is that when God gives us an assignment that is bigger than our ability, He does not send us out alone. The God who calls us is the God who equips us, sustains us, and works through us.  That is the good hand of God.</w:t>
      </w:r>
    </w:p>
    <w:p w:rsidR="00000000" w:rsidDel="00000000" w:rsidP="00000000" w:rsidRDefault="00000000" w:rsidRPr="00000000" w14:paraId="0000000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GOD OPENS THE WAY  (vv. 11-26)</w:t>
      </w:r>
    </w:p>
    <w:p w:rsidR="00000000" w:rsidDel="00000000" w:rsidP="00000000" w:rsidRDefault="00000000" w:rsidRPr="00000000" w14:paraId="00000008">
      <w:pPr>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il0672lxpo50" w:id="0"/>
      <w:bookmarkEnd w:id="0"/>
      <w:r w:rsidDel="00000000" w:rsidR="00000000" w:rsidRPr="00000000">
        <w:rPr>
          <w:rFonts w:ascii="Times New Roman" w:cs="Times New Roman" w:eastAsia="Times New Roman" w:hAnsi="Times New Roman"/>
          <w:b w:val="1"/>
          <w:bCs w:val="1"/>
          <w:sz w:val="24"/>
          <w:szCs w:val="24"/>
          <w:rtl w:val="0"/>
        </w:rPr>
        <w:t xml:space="preserve">II. GOD PROVIDES WHAT WE NEED (vv. 23-27)</w:t>
      </w:r>
    </w:p>
    <w:p w:rsidR="00000000" w:rsidDel="00000000" w:rsidP="00000000" w:rsidRDefault="00000000" w:rsidRPr="00000000" w14:paraId="0000000D">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mgm2u5470m27" w:id="1"/>
      <w:bookmarkEnd w:id="1"/>
      <w:r w:rsidDel="00000000" w:rsidR="00000000" w:rsidRPr="00000000">
        <w:rPr>
          <w:rFonts w:ascii="Times New Roman" w:cs="Times New Roman" w:eastAsia="Times New Roman" w:hAnsi="Times New Roman"/>
          <w:b w:val="1"/>
          <w:bCs w:val="1"/>
          <w:sz w:val="24"/>
          <w:szCs w:val="24"/>
          <w:rtl w:val="0"/>
        </w:rPr>
        <w:t xml:space="preserve">III. GOD GIVES US COURAGE (v. 28)</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tab/>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0a0a0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16"/>
          <w:szCs w:val="16"/>
          <w:rtl w:val="0"/>
        </w:rPr>
        <w:t xml:space="preserve">Resources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i w:val="1"/>
          <w:iCs w:val="1"/>
          <w:sz w:val="16"/>
          <w:szCs w:val="16"/>
          <w:u w:val="single"/>
          <w:rtl w:val="0"/>
        </w:rPr>
        <w:t xml:space="preserve">Matthew Henry’s Commentary, Vol. 2</w:t>
      </w:r>
      <w:r w:rsidDel="00000000" w:rsidR="00000000" w:rsidRPr="00000000">
        <w:rPr>
          <w:rFonts w:ascii="Times New Roman" w:cs="Times New Roman" w:eastAsia="Times New Roman" w:hAnsi="Times New Roman"/>
          <w:i w:val="1"/>
          <w:iCs w:val="1"/>
          <w:sz w:val="16"/>
          <w:szCs w:val="16"/>
          <w:rtl w:val="0"/>
        </w:rPr>
        <w:t xml:space="preserve">, Matthew Henry; </w:t>
      </w:r>
      <w:r w:rsidDel="00000000" w:rsidR="00000000" w:rsidRPr="00000000">
        <w:rPr>
          <w:rFonts w:ascii="Times New Roman" w:cs="Times New Roman" w:eastAsia="Times New Roman" w:hAnsi="Times New Roman"/>
          <w:i w:val="1"/>
          <w:iCs w:val="1"/>
          <w:sz w:val="16"/>
          <w:szCs w:val="16"/>
          <w:u w:val="single"/>
          <w:rtl w:val="0"/>
        </w:rPr>
        <w:t xml:space="preserve">Ezra &amp; Nehemiah</w:t>
      </w:r>
      <w:r w:rsidDel="00000000" w:rsidR="00000000" w:rsidRPr="00000000">
        <w:rPr>
          <w:rFonts w:ascii="Times New Roman" w:cs="Times New Roman" w:eastAsia="Times New Roman" w:hAnsi="Times New Roman"/>
          <w:i w:val="1"/>
          <w:iCs w:val="1"/>
          <w:sz w:val="16"/>
          <w:szCs w:val="16"/>
          <w:rtl w:val="0"/>
        </w:rPr>
        <w:t xml:space="preserve">, Derek Kidner; </w:t>
      </w:r>
      <w:r w:rsidDel="00000000" w:rsidR="00000000" w:rsidRPr="00000000">
        <w:rPr>
          <w:rFonts w:ascii="Times New Roman" w:cs="Times New Roman" w:eastAsia="Times New Roman" w:hAnsi="Times New Roman"/>
          <w:i w:val="1"/>
          <w:iCs w:val="1"/>
          <w:sz w:val="16"/>
          <w:szCs w:val="16"/>
          <w:u w:val="single"/>
          <w:rtl w:val="0"/>
        </w:rPr>
        <w:t xml:space="preserve">Ezra &amp; Nehemiah</w:t>
      </w:r>
      <w:r w:rsidDel="00000000" w:rsidR="00000000" w:rsidRPr="00000000">
        <w:rPr>
          <w:rFonts w:ascii="Times New Roman" w:cs="Times New Roman" w:eastAsia="Times New Roman" w:hAnsi="Times New Roman"/>
          <w:i w:val="1"/>
          <w:iCs w:val="1"/>
          <w:sz w:val="16"/>
          <w:szCs w:val="16"/>
          <w:rtl w:val="0"/>
        </w:rPr>
        <w:t xml:space="preserve">, Jacob M. Myers; </w:t>
      </w:r>
      <w:r w:rsidDel="00000000" w:rsidR="00000000" w:rsidRPr="00000000">
        <w:rPr>
          <w:rFonts w:ascii="Times New Roman" w:cs="Times New Roman" w:eastAsia="Times New Roman" w:hAnsi="Times New Roman"/>
          <w:i w:val="1"/>
          <w:iCs w:val="1"/>
          <w:sz w:val="16"/>
          <w:szCs w:val="16"/>
          <w:u w:val="single"/>
          <w:rtl w:val="0"/>
        </w:rPr>
        <w:t xml:space="preserve">Westminster Confession of Faith</w:t>
      </w:r>
      <w:r w:rsidDel="00000000" w:rsidR="00000000" w:rsidRPr="00000000">
        <w:rPr>
          <w:rtl w:val="0"/>
        </w:rPr>
      </w:r>
    </w:p>
    <w:sectPr>
      <w:pgSz w:h="15840" w:w="12240" w:orient="portrait"/>
      <w:pgMar w:bottom="360" w:top="360" w:left="360" w:right="360" w:header="720" w:footer="720"/>
      <w:pgNumType w:start="1"/>
      <w:cols w:equalWidth="0" w:num="1">
        <w:col w:space="0" w:w="115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