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064ef62ce1442161cee037ecba1e8ddc248564f"/>
    <w:p>
      <w:pPr>
        <w:pStyle w:val="Heading1"/>
      </w:pPr>
      <w:r>
        <w:t xml:space="preserve">Independent Study Proposal — Cal Berkeley (1 credit)</w:t>
      </w:r>
    </w:p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Colby Morris</w:t>
      </w:r>
      <w:r>
        <w:br/>
      </w:r>
      <w:r>
        <w:rPr>
          <w:b/>
          <w:bCs/>
        </w:rPr>
        <w:t xml:space="preserve">Advisor:</w:t>
      </w:r>
      <w:r>
        <w:t xml:space="preserve"> </w:t>
      </w:r>
      <w:r>
        <w:t xml:space="preserve">Conrad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2026</w:t>
      </w:r>
      <w:r>
        <w:br/>
      </w:r>
      <w:r>
        <w:rPr>
          <w:b/>
          <w:bCs/>
        </w:rPr>
        <w:t xml:space="preserve">Working title:</w:t>
      </w:r>
      <w:r>
        <w:t xml:space="preserve"> </w:t>
      </w:r>
      <w:r>
        <w:t xml:space="preserve">Which traits travel into the Bundesliga — and which source leagues should scouts prioritize?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Bundesliga destination only (narrow one-league inbound study)</w:t>
      </w:r>
    </w:p>
    <w:p>
      <w:r>
        <w:pict>
          <v:rect style="width:0;height:1.5pt" o:hralign="center" o:hrstd="t" o:hr="t"/>
        </w:pict>
      </w:r>
    </w:p>
    <w:bookmarkStart w:id="9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t xml:space="preserve">When players transfer</w:t>
      </w:r>
      <w:r>
        <w:t xml:space="preserve"> </w:t>
      </w:r>
      <w:r>
        <w:rPr>
          <w:b/>
          <w:bCs/>
        </w:rPr>
        <w:t xml:space="preserve">into the 1. Bundesliga</w:t>
      </w:r>
      <w:r>
        <w:t xml:space="preserve"> </w:t>
      </w:r>
      <w:r>
        <w:t xml:space="preserve">from other leagues, which performance traits remain</w:t>
      </w:r>
      <w:r>
        <w:t xml:space="preserve"> </w:t>
      </w:r>
      <w:r>
        <w:rPr>
          <w:b/>
          <w:bCs/>
        </w:rPr>
        <w:t xml:space="preserve">stable vs. league-context</w:t>
      </w:r>
      <w:r>
        <w:t xml:space="preserve">, and which</w:t>
      </w:r>
      <w:r>
        <w:t xml:space="preserve"> </w:t>
      </w:r>
      <w:r>
        <w:rPr>
          <w:b/>
          <w:bCs/>
        </w:rPr>
        <w:t xml:space="preserve">source leagues</w:t>
      </w:r>
      <w:r>
        <w:t xml:space="preserve"> </w:t>
      </w:r>
      <w:r>
        <w:t xml:space="preserve">produce the most effective arrivals?</w:t>
      </w:r>
    </w:p>
    <w:p>
      <w:pPr>
        <w:pStyle w:val="BodyText"/>
      </w:pPr>
      <w:r>
        <w:t xml:space="preserve">Two evidence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Data backbone</w:t>
            </w:r>
          </w:p>
        </w:tc>
        <w:tc>
          <w:tcPr/>
          <w:p>
            <w:pPr>
              <w:pStyle w:val="Compact"/>
            </w:pPr>
            <w:r>
              <w:t xml:space="preserve">Headline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 — Wide</w:t>
            </w:r>
          </w:p>
        </w:tc>
        <w:tc>
          <w:tcPr/>
          <w:p>
            <w:pPr>
              <w:pStyle w:val="Compact"/>
            </w:pPr>
            <w:r>
              <w:t xml:space="preserve">Outcomes for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inbound / first Bundesliga seasons in the study window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FBref</w:t>
            </w:r>
            <w:r>
              <w:t xml:space="preserve"> </w:t>
            </w:r>
            <w:r>
              <w:t xml:space="preserve">player-season stats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2 — Deep</w:t>
            </w:r>
          </w:p>
        </w:tc>
        <w:tc>
          <w:tcPr/>
          <w:p>
            <w:pPr>
              <w:pStyle w:val="Compact"/>
            </w:pPr>
            <w:r>
              <w:t xml:space="preserve">Trait portability + league ranking</w:t>
            </w:r>
          </w:p>
        </w:tc>
        <w:tc>
          <w:tcPr/>
          <w:p>
            <w:pPr>
              <w:pStyle w:val="Compact"/>
            </w:pPr>
            <w:r>
              <w:t xml:space="preserve">FBref prior → Bundesliga Y1 per-90;</w:t>
            </w:r>
            <w:r>
              <w:t xml:space="preserve"> </w:t>
            </w:r>
            <w:r>
              <w:rPr>
                <w:b/>
                <w:bCs/>
              </w:rPr>
              <w:t xml:space="preserve">StatsBomb Open Data</w:t>
            </w:r>
            <w:r>
              <w:t xml:space="preserve"> </w:t>
            </w:r>
            <w:r>
              <w:t xml:space="preserve">as event-level deep dive on a smaller overlap</w:t>
            </w:r>
          </w:p>
        </w:tc>
        <w:tc>
          <w:tcPr/>
          <w:p>
            <w:pPr>
              <w:pStyle w:val="Compact"/>
            </w:pPr>
            <w:r>
              <w:t xml:space="preserve">Open data now ~</w:t>
            </w:r>
            <w:r>
              <w:rPr>
                <w:b/>
                <w:bCs/>
              </w:rPr>
              <w:t xml:space="preserve">100</w:t>
            </w:r>
            <w:r>
              <w:t xml:space="preserve">; FBref target</w:t>
            </w:r>
            <w:r>
              <w:t xml:space="preserve"> </w:t>
            </w:r>
            <w:r>
              <w:rPr>
                <w:b/>
                <w:bCs/>
              </w:rPr>
              <w:t xml:space="preserve">500+ paired</w:t>
            </w:r>
            <w:r>
              <w:t xml:space="preserve"> </w:t>
            </w:r>
            <w:r>
              <w:t xml:space="preserve">seasons</w:t>
            </w:r>
          </w:p>
        </w:tc>
      </w:tr>
    </w:tbl>
    <w:p>
      <w:pPr>
        <w:pStyle w:val="BodyText"/>
      </w:pPr>
      <w:r>
        <w:t xml:space="preserve">This extends the NYRB scouting-metric framework (stability → redundancy → target),</w:t>
      </w:r>
      <w:r>
        <w:t xml:space="preserve"> </w:t>
      </w:r>
      <w:r>
        <w:rPr>
          <w:b/>
          <w:bCs/>
        </w:rPr>
        <w:t xml:space="preserve">replacing Transfermarkt market value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Destination Effectiveness Score (DES)</w:t>
      </w:r>
      <w:r>
        <w:t xml:space="preserve"> </w:t>
      </w:r>
      <w:r>
        <w:t xml:space="preserve">and a traits-to-target / leagues-to-prioritize framing.</w:t>
      </w:r>
    </w:p>
    <w:p>
      <w:r>
        <w:pict>
          <v:rect style="width:0;height:1.5pt" o:hralign="center" o:hrstd="t" o:hr="t"/>
        </w:pict>
      </w:r>
    </w:p>
    <w:bookmarkEnd w:id="9"/>
    <w:bookmarkStart w:id="10" w:name="is-transfermarkt-public"/>
    <w:p>
      <w:pPr>
        <w:pStyle w:val="Heading2"/>
      </w:pPr>
      <w:r>
        <w:t xml:space="preserve">Is Transfermarkt “public”?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Browsing</w:t>
            </w:r>
          </w:p>
        </w:tc>
        <w:tc>
          <w:tcPr/>
          <w:p>
            <w:pPr>
              <w:pStyle w:val="Compact"/>
            </w:pPr>
            <w:r>
              <w:t xml:space="preserve">Yes — the site is free to view (transfers, clubs, minutes, values).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scrape / bots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Transfermarkt Terms of Use ban bots, spiders, and screen scraping, and reserve text/data-mining rights.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Official research dump</w:t>
            </w:r>
          </w:p>
        </w:tc>
        <w:tc>
          <w:tcPr/>
          <w:p>
            <w:pPr>
              <w:pStyle w:val="Compact"/>
            </w:pPr>
            <w:r>
              <w:t xml:space="preserve">Not generally open; they prefer one-off data provision for research 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Implication for this project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scrape Transfermarkt. Use</w:t>
            </w:r>
            <w:r>
              <w:t xml:space="preserve"> </w:t>
            </w:r>
            <w:r>
              <w:rPr>
                <w:b/>
                <w:bCs/>
              </w:rPr>
              <w:t xml:space="preserve">FBref</w:t>
            </w:r>
            <w:r>
              <w:t xml:space="preserve"> </w:t>
            </w:r>
            <w:r>
              <w:t xml:space="preserve">as the public performance and season source. Use Transfermarkt only via (a) manual spot-checks, (b) Conrad-approved contact/request, or (c) a pre-published dataset if Conrad signs off.</w:t>
            </w:r>
          </w:p>
        </w:tc>
      </w:tr>
    </w:tbl>
    <w:p>
      <w:pPr>
        <w:pStyle w:val="BodyText"/>
      </w:pPr>
      <w:r>
        <w:rPr>
          <w:b/>
          <w:bCs/>
        </w:rPr>
        <w:t xml:space="preserve">FBref</w:t>
      </w:r>
      <w:r>
        <w:t xml:space="preserve"> </w:t>
      </w:r>
      <w:r>
        <w:t xml:space="preserve">(Sports Reference) is the primary public dataset for Tier 1–2 metrics: viewable online; usable for coursework with attribution and rate-limited access. Respect their terms; do not redistribute raw dumps beyond the course.</w:t>
      </w:r>
    </w:p>
    <w:p>
      <w:r>
        <w:pict>
          <v:rect style="width:0;height:1.5pt" o:hralign="center" o:hrstd="t" o:hr="t"/>
        </w:pict>
      </w:r>
    </w:p>
    <w:bookmarkEnd w:id="10"/>
    <w:bookmarkStart w:id="13" w:name="two-tier-design-bundesliga-only"/>
    <w:p>
      <w:pPr>
        <w:pStyle w:val="Heading2"/>
      </w:pPr>
      <w:r>
        <w:t xml:space="preserve">Two-tier design (Bundesliga only)</w:t>
      </w:r>
    </w:p>
    <w:bookmarkStart w:id="11" w:name="X4eda12750392e89ef0b860d4f79d91939370ef6"/>
    <w:p>
      <w:pPr>
        <w:pStyle w:val="Heading3"/>
      </w:pPr>
      <w:r>
        <w:t xml:space="preserve">Tier 1 — Robust FBref sample (headline N ≥ 500)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Who:</w:t>
      </w:r>
      <w:r>
        <w:t xml:space="preserve"> </w:t>
      </w:r>
      <w:r>
        <w:t xml:space="preserve">All players with a first Bundesliga season (or verified inbound transfer season) over a multi-year window (e.g. last 8–12 seasons), with a relaxed minutes filter (e.g. ≥270–450 Bundesliga minutes in Year 1 so N stays ≥500).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Outcome metrics only — minutes share; per-90 attacking (shots, xG, progressive passes); defending (tackles, pressures, clearances) by position and</w:t>
      </w:r>
      <w:r>
        <w:t xml:space="preserve"> </w:t>
      </w:r>
      <w:r>
        <w:rPr>
          <w:b/>
          <w:bCs/>
        </w:rPr>
        <w:t xml:space="preserve">source league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Honest large N; answers “who succeeds after arrival?” without needing event data.</w:t>
      </w:r>
    </w:p>
    <w:bookmarkEnd w:id="11"/>
    <w:bookmarkStart w:id="12" w:name="X53b81b8945b83f31bc3fbfc52a7f658cc51d702"/>
    <w:p>
      <w:pPr>
        <w:pStyle w:val="Heading3"/>
      </w:pPr>
      <w:r>
        <w:t xml:space="preserve">Tier 2 — Portability model (FBref primary; StatsBomb deep dive)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Who:</w:t>
      </w:r>
      <w:r>
        <w:t xml:space="preserve"> </w:t>
      </w:r>
      <w:r>
        <w:t xml:space="preserve">Subset with measurable prior-season club stats in another league on FBref → target</w:t>
      </w:r>
      <w:r>
        <w:t xml:space="preserve"> </w:t>
      </w:r>
      <w:r>
        <w:rPr>
          <w:b/>
          <w:bCs/>
        </w:rPr>
        <w:t xml:space="preserve">500+</w:t>
      </w:r>
      <w:r>
        <w:t xml:space="preserve"> </w:t>
      </w:r>
      <w:r>
        <w:t xml:space="preserve">paired player-seasons.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Pre-transfer vs Bundesliga Y1 z-scores / percentiles; portability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by metric × position; source-league ranking; light redundancy screen.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StatsBomb Open Data deep dive:</w:t>
      </w:r>
      <w:r>
        <w:t xml:space="preserve"> </w:t>
      </w:r>
      <w:r>
        <w:t xml:space="preserve">Same questions on the ~</w:t>
      </w:r>
      <w:r>
        <w:rPr>
          <w:b/>
          <w:bCs/>
        </w:rPr>
        <w:t xml:space="preserve">94–120</w:t>
      </w:r>
      <w:r>
        <w:t xml:space="preserve"> </w:t>
      </w:r>
      <w:r>
        <w:t xml:space="preserve">players who currently have prior + Bundesliga minutes in open data (richer event taxonomy, interactive pizza profiles). Compare whether event-level conclusions</w:t>
      </w:r>
      <w:r>
        <w:t xml:space="preserve"> </w:t>
      </w:r>
      <w:r>
        <w:rPr>
          <w:b/>
          <w:bCs/>
        </w:rPr>
        <w:t xml:space="preserve">align</w:t>
      </w:r>
      <w:r>
        <w:t xml:space="preserve"> </w:t>
      </w:r>
      <w:r>
        <w:t xml:space="preserve">with FBref (validation: deeper but smaller).</w:t>
      </w:r>
    </w:p>
    <w:p>
      <w:pPr>
        <w:pStyle w:val="FirstParagraph"/>
      </w:pPr>
      <w:r>
        <w:rPr>
          <w:b/>
          <w:bCs/>
        </w:rPr>
        <w:t xml:space="preserve">Destination Effectiveness Score (replaces market-value Axis 3):</w:t>
      </w:r>
    </w:p>
    <w:p>
      <w:pPr>
        <w:pStyle w:val="BodyText"/>
      </w:pPr>
      <w:r>
        <w:t xml:space="preserve">DES_i = Σ_m [ w_m × Pctile_Bundes(m)_i ] / Σ_m w_m</w:t>
      </w:r>
    </w:p>
    <w:p>
      <w:pPr>
        <w:pStyle w:val="BodyText"/>
      </w:pPr>
      <w:r>
        <w:t xml:space="preserve">where w_m = max(0, r_port(m)) and r_port is the correlation of pre-transfer vs Year-1 z-scores for metric m.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traits to target (high portability) and leagues to prioritize (high Year-1 minutes / DES among source leagues).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data-stack"/>
    <w:p>
      <w:pPr>
        <w:pStyle w:val="Heading2"/>
      </w:pPr>
      <w:r>
        <w:t xml:space="preserve">Data stack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FBref</w:t>
      </w:r>
      <w:r>
        <w:t xml:space="preserve"> </w:t>
      </w:r>
      <w:r>
        <w:t xml:space="preserve">— primary layer for Tier 1 (N≥500 outcomes) and Tier 2 (portability at scale).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StatsBomb Open Data</w:t>
      </w:r>
      <w:r>
        <w:t xml:space="preserve"> </w:t>
      </w:r>
      <w:r>
        <w:t xml:space="preserve">— deep dive + interactive pizza explorer on the smaller open-data overlap.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Transfermarkt</w:t>
      </w:r>
      <w:r>
        <w:t xml:space="preserve"> </w:t>
      </w:r>
      <w:r>
        <w:t xml:space="preserve">— browse / spot-check only; no scraping.</w:t>
      </w:r>
    </w:p>
    <w:p>
      <w:pPr>
        <w:pStyle w:val="FirstParagraph"/>
      </w:pPr>
      <w:r>
        <w:t xml:space="preserve">Open-data stress test already completed: Bundesliga first appearances ≈</w:t>
      </w:r>
      <w:r>
        <w:t xml:space="preserve"> </w:t>
      </w:r>
      <w:r>
        <w:rPr>
          <w:b/>
          <w:bCs/>
        </w:rPr>
        <w:t xml:space="preserve">675</w:t>
      </w:r>
      <w:r>
        <w:t xml:space="preserve">; with any prior open-data minutes ≈</w:t>
      </w:r>
      <w:r>
        <w:t xml:space="preserve"> </w:t>
      </w:r>
      <w:r>
        <w:rPr>
          <w:b/>
          <w:bCs/>
        </w:rPr>
        <w:t xml:space="preserve">120</w:t>
      </w:r>
      <w:r>
        <w:t xml:space="preserve">; analysis-ready (≥90 prior min) ≈</w:t>
      </w:r>
      <w:r>
        <w:t xml:space="preserve"> </w:t>
      </w:r>
      <w:r>
        <w:rPr>
          <w:b/>
          <w:bCs/>
        </w:rPr>
        <w:t xml:space="preserve">94</w:t>
      </w:r>
      <w:r>
        <w:t xml:space="preserve"> </w:t>
      </w:r>
      <w:r>
        <w:t xml:space="preserve">(CM+FB ≈</w:t>
      </w:r>
      <w:r>
        <w:t xml:space="preserve"> </w:t>
      </w:r>
      <w:r>
        <w:rPr>
          <w:b/>
          <w:bCs/>
        </w:rPr>
        <w:t xml:space="preserve">35</w:t>
      </w:r>
      <w:r>
        <w:t xml:space="preserve">). That motivates FBref for scale while keeping StatsBomb for depth.</w:t>
      </w:r>
    </w:p>
    <w:p>
      <w:r>
        <w:pict>
          <v:rect style="width:0;height:1.5pt" o:hralign="center" o:hrstd="t" o:hr="t"/>
        </w:pict>
      </w:r>
    </w:p>
    <w:bookmarkEnd w:id="14"/>
    <w:bookmarkStart w:id="15" w:name="deliverables-current-package"/>
    <w:p>
      <w:pPr>
        <w:pStyle w:val="Heading2"/>
      </w:pPr>
      <w:r>
        <w:t xml:space="preserve">Deliverables (current package)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CONRAD_PROPOSAL.docx</w:t>
            </w:r>
          </w:p>
        </w:tc>
        <w:tc>
          <w:tcPr/>
          <w:p>
            <w:pPr>
              <w:pStyle w:val="Compact"/>
            </w:pPr>
            <w:r>
              <w:t xml:space="preserve">This proposal as a Word document for Conrad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interactive_player_explorer.html</w:t>
            </w:r>
          </w:p>
        </w:tc>
        <w:tc>
          <w:tcPr/>
          <w:p>
            <w:pPr>
              <w:pStyle w:val="Compact"/>
            </w:pPr>
            <w:r>
              <w:t xml:space="preserve">Player dropdown sorted by position; StatsBomb-style pizza; DES; stock fonts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methodology_results_brief.html</w:t>
            </w:r>
          </w:p>
        </w:tc>
        <w:tc>
          <w:tcPr/>
          <w:p>
            <w:pPr>
              <w:pStyle w:val="Compact"/>
            </w:pPr>
            <w:r>
              <w:t xml:space="preserve">Short 6-section method/results brief (Tier tables, traits, leagues, cases)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cohort_data.json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Open-data cohort artifact + package notes</w:t>
            </w:r>
          </w:p>
        </w:tc>
      </w:tr>
    </w:tbl>
    <w:p>
      <w:pPr>
        <w:pStyle w:val="BodyText"/>
      </w:pPr>
      <w:r>
        <w:t xml:space="preserve">All live in:</w:t>
      </w:r>
      <w:r>
        <w:t xml:space="preserve"> </w:t>
      </w:r>
      <w:r>
        <w:rPr>
          <w:rStyle w:val="VerbatimChar"/>
        </w:rPr>
        <w:t xml:space="preserve">cal-bundesliga-transfer-traits/</w:t>
      </w:r>
    </w:p>
    <w:p>
      <w:r>
        <w:pict>
          <v:rect style="width:0;height:1.5pt" o:hralign="center" o:hrstd="t" o:hr="t"/>
        </w:pict>
      </w:r>
    </w:p>
    <w:bookmarkEnd w:id="15"/>
    <w:bookmarkStart w:id="16" w:name="timeline-45-weeks"/>
    <w:p>
      <w:pPr>
        <w:pStyle w:val="Heading2"/>
      </w:pPr>
      <w:r>
        <w:t xml:space="preserve">Timeline (≈4–5 weeks)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FBref Bundesliga cohort freeze (Tier 1 N≥500); document no-scrape policy for Transfermarkt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Tier 1 outcomes by source league +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Tier 2 FBref portability + DES; begin StatsBomb deep dive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Align FBref vs StatsBomb findings; finalize HTML 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Write-up + Conrad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why-this-works-for-1-credit"/>
    <w:p>
      <w:pPr>
        <w:pStyle w:val="Heading2"/>
      </w:pPr>
      <w:r>
        <w:t xml:space="preserve">Why this works for 1 credit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Honest N:</w:t>
      </w:r>
      <w:r>
        <w:t xml:space="preserve"> </w:t>
      </w:r>
      <w:r>
        <w:t xml:space="preserve">Tier 1 guarantees ≥500 without claiming open data has 500 paired transfers.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Narrow:</w:t>
      </w:r>
      <w:r>
        <w:t xml:space="preserve"> </w:t>
      </w:r>
      <w:r>
        <w:t xml:space="preserve">only into the Bundesliga.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Accurate where it matters:</w:t>
      </w:r>
      <w:r>
        <w:t xml:space="preserve"> </w:t>
      </w:r>
      <w:r>
        <w:t xml:space="preserve">FBref multi-season performance for the robust model; StatsBomb for a smaller, deeper event dive.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Clean ethics:</w:t>
      </w:r>
      <w:r>
        <w:t xml:space="preserve"> </w:t>
      </w:r>
      <w:r>
        <w:t xml:space="preserve">FBref-first; Transfermarkt not scraped.</w:t>
      </w:r>
    </w:p>
    <w:p>
      <w:pPr>
        <w:pStyle w:val="FirstParagraph"/>
      </w:pPr>
      <w:r>
        <w:t xml:space="preserve">Attributions: FBref / Sports Reference; StatsBomb Open Data (where used).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2026-07-15T20:57:19Z</dcterms:created>
  <dcterms:modified xsi:type="dcterms:W3CDTF">2026-07-15T20:57:19Z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