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C1C1C"/>
        </w:rPr>
        <w:t>Sources for the Asian League to MLB Pitcher Analysis</w:t>
      </w:r>
    </w:p>
    <w:p>
      <w:pPr>
        <w:spacing w:after="160" w:line="240" w:lineRule="auto"/>
      </w:pPr>
      <w:r>
        <w:rPr>
          <w:rFonts w:ascii="Calibri" w:hAnsi="Calibri" w:eastAsia="Calibri"/>
          <w:sz w:val="22"/>
        </w:rPr>
        <w:t xml:space="preserve">October 29, 2026. Public page: </w:t>
      </w:r>
      <w:hyperlink r:id="rId9">
        <w:r>
          <w:rPr>
            <w:color w:val="3D5A80"/>
            <w:u w:val="single"/>
            <w:sz w:val="22"/>
          </w:rPr>
          <w:t xml:space="preserve">https://colbymorris08.github.io/bundesliga-transfer-traits/asian-pitchers.html</w:t>
        </w:r>
      </w:hyperlink>
    </w:p>
    <w:p>
      <w:pPr>
        <w:spacing w:after="160" w:line="240" w:lineRule="auto"/>
      </w:pPr>
      <w:r>
        <w:rPr>
          <w:rFonts w:ascii="Calibri" w:hAnsi="Calibri" w:eastAsia="Calibri"/>
          <w:i/>
          <w:sz w:val="22"/>
        </w:rPr>
        <w:t>Sources for the roster, the rates, and the calculations on that page. wOBA and wRC+ are listed after that. This page does not compute them. The run-prevention outcomes here are ERA+ and bWAR.</w:t>
      </w:r>
    </w:p>
    <w:p>
      <w:pPr>
        <w:pStyle w:val="Heading2"/>
        <w:spacing w:before="280" w:after="120"/>
      </w:pPr>
      <w:r>
        <w:rPr>
          <w:rFonts w:ascii="Calibri" w:hAnsi="Calibri"/>
          <w:color w:val="3D5A80"/>
        </w:rPr>
        <w:t>Roster and Asian-league seasons</w:t>
      </w:r>
    </w:p>
    <w:p>
      <w:pPr>
        <w:pStyle w:val="ListBullet"/>
        <w:spacing w:after="120" w:line="259" w:lineRule="auto"/>
      </w:pPr>
      <w:r>
        <w:rPr>
          <w:rFonts w:ascii="Calibri" w:hAnsi="Calibri" w:eastAsia="Calibri"/>
          <w:sz w:val="22"/>
        </w:rPr>
        <w:t xml:space="preserve">Baseball-Reference. Register player pages, standard pitching table. </w:t>
      </w:r>
      <w:hyperlink r:id="rId10">
        <w:r>
          <w:rPr>
            <w:color w:val="3D5A80"/>
            <w:u w:val="single"/>
            <w:sz w:val="22"/>
          </w:rPr>
          <w:t xml:space="preserve">https://www.baseball-reference.com/register/</w:t>
        </w:r>
      </w:hyperlink>
      <w:r>
        <w:rPr>
          <w:rFonts w:ascii="Calibri" w:hAnsi="Calibri" w:eastAsia="Calibri"/>
          <w:sz w:val="22"/>
        </w:rPr>
        <w:t>. Pre-move NPB (Central and Pacific), KBO, and CPBL seasons. Farm and winter leagues are excluded. A season in the departure year counts as pre-move. A later return to Asia does not.</w:t>
      </w:r>
    </w:p>
    <w:p>
      <w:pPr>
        <w:pStyle w:val="ListBullet"/>
        <w:spacing w:after="120" w:line="259" w:lineRule="auto"/>
      </w:pPr>
      <w:r>
        <w:rPr>
          <w:rFonts w:ascii="Calibri" w:hAnsi="Calibri" w:eastAsia="Calibri"/>
          <w:sz w:val="22"/>
        </w:rPr>
        <w:t xml:space="preserve">Baseball-Reference. Birthplace pitching tables, used to check the Asian-born half of the roster. Japan: </w:t>
      </w:r>
      <w:hyperlink r:id="rId11">
        <w:r>
          <w:rPr>
            <w:color w:val="3D5A80"/>
            <w:u w:val="single"/>
            <w:sz w:val="22"/>
          </w:rPr>
          <w:t xml:space="preserve">https://www.baseball-reference.com/bio/Japan_born.shtml</w:t>
        </w:r>
      </w:hyperlink>
      <w:r>
        <w:rPr>
          <w:rFonts w:ascii="Calibri" w:hAnsi="Calibri" w:eastAsia="Calibri"/>
          <w:sz w:val="22"/>
        </w:rPr>
        <w:t xml:space="preserve">. South Korea: </w:t>
      </w:r>
      <w:hyperlink r:id="rId12">
        <w:r>
          <w:rPr>
            <w:color w:val="3D5A80"/>
            <w:u w:val="single"/>
            <w:sz w:val="22"/>
          </w:rPr>
          <w:t xml:space="preserve">https://www.baseball-reference.com/bio/South-Korea_born.shtml</w:t>
        </w:r>
      </w:hyperlink>
      <w:r>
        <w:rPr>
          <w:rFonts w:ascii="Calibri" w:hAnsi="Calibri" w:eastAsia="Calibri"/>
          <w:sz w:val="22"/>
        </w:rPr>
        <w:t xml:space="preserve">. Taiwan: </w:t>
      </w:r>
      <w:hyperlink r:id="rId13">
        <w:r>
          <w:rPr>
            <w:color w:val="3D5A80"/>
            <w:u w:val="single"/>
            <w:sz w:val="22"/>
          </w:rPr>
          <w:t xml:space="preserve">https://www.baseball-reference.com/bio/Taiwan_born.shtml</w:t>
        </w:r>
      </w:hyperlink>
      <w:r>
        <w:rPr>
          <w:rFonts w:ascii="Calibri" w:hAnsi="Calibri" w:eastAsia="Calibri"/>
          <w:sz w:val="22"/>
        </w:rPr>
        <w:t>.</w:t>
      </w:r>
    </w:p>
    <w:p>
      <w:pPr>
        <w:pStyle w:val="ListBullet"/>
        <w:spacing w:after="120" w:line="259" w:lineRule="auto"/>
      </w:pPr>
      <w:r>
        <w:rPr>
          <w:rFonts w:ascii="Calibri" w:hAnsi="Calibri" w:eastAsia="Calibri"/>
          <w:sz w:val="22"/>
        </w:rPr>
        <w:t>Published window: the move, or the return to MLB, is in 2006 or later. A pitcher is in the correlations with a pre-move Asian season, at least 10 Asian innings before the move, and at least 10 MLB innings.</w:t>
      </w:r>
    </w:p>
    <w:p>
      <w:pPr>
        <w:pStyle w:val="Heading2"/>
        <w:spacing w:before="280" w:after="120"/>
      </w:pPr>
      <w:r>
        <w:rPr>
          <w:rFonts w:ascii="Calibri" w:hAnsi="Calibri"/>
          <w:color w:val="3D5A80"/>
        </w:rPr>
        <w:t>MLB pitching stats</w:t>
      </w:r>
    </w:p>
    <w:p>
      <w:pPr>
        <w:pStyle w:val="ListBullet"/>
        <w:spacing w:after="120" w:line="259" w:lineRule="auto"/>
      </w:pPr>
      <w:r>
        <w:rPr>
          <w:rFonts w:ascii="Calibri" w:hAnsi="Calibri" w:eastAsia="Calibri"/>
          <w:sz w:val="22"/>
        </w:rPr>
        <w:t xml:space="preserve">MLB Advanced Media. MLB Stats API, career pitching. </w:t>
      </w:r>
      <w:hyperlink r:id="rId14">
        <w:r>
          <w:rPr>
            <w:color w:val="3D5A80"/>
            <w:u w:val="single"/>
            <w:sz w:val="22"/>
          </w:rPr>
          <w:t xml:space="preserve">https://statsapi.mlb.com/api/v1/people/660271/stats?stats=career&amp;group=pitching</w:t>
        </w:r>
      </w:hyperlink>
      <w:r>
        <w:rPr>
          <w:rFonts w:ascii="Calibri" w:hAnsi="Calibri" w:eastAsia="Calibri"/>
          <w:sz w:val="22"/>
        </w:rPr>
        <w:t>. stats=career and group=pitching.</w:t>
      </w:r>
    </w:p>
    <w:p>
      <w:pPr>
        <w:pStyle w:val="ListBullet"/>
        <w:spacing w:after="120" w:line="259" w:lineRule="auto"/>
      </w:pPr>
      <w:r>
        <w:rPr>
          <w:rFonts w:ascii="Calibri" w:hAnsi="Calibri" w:eastAsia="Calibri"/>
          <w:sz w:val="22"/>
        </w:rPr>
        <w:t>MLB Advanced Media. MLB Stats API, year-by-year pitching. stats=yearByYear and group=pitching, sport id 1, seasons from 1960 on. A blank-team season total is dropped when named team splits exist, so innings are not double-counted.</w:t>
      </w:r>
    </w:p>
    <w:p>
      <w:pPr>
        <w:pStyle w:val="ListBullet"/>
        <w:spacing w:after="120" w:line="259" w:lineRule="auto"/>
      </w:pPr>
      <w:r>
        <w:rPr>
          <w:rFonts w:ascii="Calibri" w:hAnsi="Calibri" w:eastAsia="Calibri"/>
          <w:sz w:val="22"/>
        </w:rPr>
        <w:t>Rates from those counting stats: K/9 = SO × 9 / IP, BB/9 = BB × 9 / IP, HR/9 = HR × 9 / IP, WHIP = (H + BB) / IP, K/BB = SO / BB. IP is the baseball decimal as published (242.1), not converted to true thirds.</w:t>
      </w:r>
    </w:p>
    <w:p>
      <w:pPr>
        <w:pStyle w:val="Heading2"/>
        <w:spacing w:before="280" w:after="120"/>
      </w:pPr>
      <w:r>
        <w:rPr>
          <w:rFonts w:ascii="Calibri" w:hAnsi="Calibri"/>
          <w:color w:val="3D5A80"/>
        </w:rPr>
        <w:t>Ground-ball rate</w:t>
      </w:r>
    </w:p>
    <w:p>
      <w:pPr>
        <w:pStyle w:val="ListBullet"/>
        <w:spacing w:after="120" w:line="259" w:lineRule="auto"/>
      </w:pPr>
      <w:r>
        <w:rPr>
          <w:rFonts w:ascii="Calibri" w:hAnsi="Calibri" w:eastAsia="Calibri"/>
          <w:sz w:val="22"/>
        </w:rPr>
        <w:t xml:space="preserve">Baseball Savant. Batted-ball leaderboard, pitcher, 2015–2026. </w:t>
      </w:r>
      <w:hyperlink r:id="rId15">
        <w:r>
          <w:rPr>
            <w:color w:val="3D5A80"/>
            <w:u w:val="single"/>
            <w:sz w:val="22"/>
          </w:rPr>
          <w:t xml:space="preserve">https://baseballsavant.mlb.com/leaderboard/batted-ball?type=pitcher</w:t>
        </w:r>
      </w:hyperlink>
      <w:r>
        <w:rPr>
          <w:rFonts w:ascii="Calibri" w:hAnsi="Calibri" w:eastAsia="Calibri"/>
          <w:sz w:val="22"/>
        </w:rPr>
        <w:t>. MLB GB% = ground balls / batted balls. A career rate is weighted by batted balls. The Stats API has ground outs and air outs only, and that ratio is not used.</w:t>
      </w:r>
    </w:p>
    <w:p>
      <w:pPr>
        <w:pStyle w:val="ListBullet"/>
        <w:spacing w:after="120" w:line="259" w:lineRule="auto"/>
      </w:pPr>
      <w:r>
        <w:rPr>
          <w:rFonts w:ascii="Calibri" w:hAnsi="Calibri" w:eastAsia="Calibri"/>
          <w:sz w:val="22"/>
        </w:rPr>
        <w:t xml:space="preserve">NPB Data Store. Pitch-type pages, ゴロ率 labeled GB%. </w:t>
      </w:r>
      <w:hyperlink r:id="rId16">
        <w:r>
          <w:rPr>
            <w:color w:val="3D5A80"/>
            <w:u w:val="single"/>
            <w:sz w:val="22"/>
          </w:rPr>
          <w:t xml:space="preserve">https://baseball-data-store.com/</w:t>
        </w:r>
      </w:hyperlink>
      <w:r>
        <w:rPr>
          <w:rFonts w:ascii="Calibri" w:hAnsi="Calibri" w:eastAsia="Calibri"/>
          <w:sz w:val="22"/>
        </w:rPr>
        <w:t>. Used only when the page title is the requested season. The site currently publishes 2025 and 2026 for players it still lists.</w:t>
      </w:r>
    </w:p>
    <w:p>
      <w:pPr>
        <w:pStyle w:val="ListBullet"/>
        <w:spacing w:after="120" w:line="259" w:lineRule="auto"/>
      </w:pPr>
      <w:r>
        <w:rPr>
          <w:rFonts w:ascii="Calibri" w:hAnsi="Calibri" w:eastAsia="Calibri"/>
          <w:sz w:val="22"/>
        </w:rPr>
        <w:t xml:space="preserve">NPB official pitching lines do not publish ground-ball rate. Example, Central League pitching, 2026: </w:t>
      </w:r>
      <w:hyperlink r:id="rId17">
        <w:r>
          <w:rPr>
            <w:color w:val="3D5A80"/>
            <w:u w:val="single"/>
            <w:sz w:val="22"/>
          </w:rPr>
          <w:t xml:space="preserve">https://npb.jp/bis/2026/stats/pit_c.html</w:t>
        </w:r>
      </w:hyperlink>
      <w:r>
        <w:rPr>
          <w:rFonts w:ascii="Calibri" w:hAnsi="Calibri" w:eastAsia="Calibri"/>
          <w:sz w:val="22"/>
        </w:rPr>
        <w:t>. KBO and CPBL public lines are the same, so those GB% cells are blank.</w:t>
      </w:r>
    </w:p>
    <w:p>
      <w:pPr>
        <w:pStyle w:val="Heading2"/>
        <w:spacing w:before="280" w:after="120"/>
      </w:pPr>
      <w:r>
        <w:rPr>
          <w:rFonts w:ascii="Calibri" w:hAnsi="Calibri"/>
          <w:color w:val="3D5A80"/>
        </w:rPr>
        <w:t>ERA+, WAR, and the correlation</w:t>
      </w:r>
    </w:p>
    <w:p>
      <w:pPr>
        <w:pStyle w:val="ListBullet"/>
        <w:spacing w:after="120" w:line="259" w:lineRule="auto"/>
      </w:pPr>
      <w:r>
        <w:rPr>
          <w:rFonts w:ascii="Calibri" w:hAnsi="Calibri" w:eastAsia="Calibri"/>
          <w:sz w:val="22"/>
        </w:rPr>
        <w:t xml:space="preserve">Baseball-Reference. ERA+ (adjusted ERA). </w:t>
      </w:r>
      <w:hyperlink r:id="rId18">
        <w:r>
          <w:rPr>
            <w:color w:val="3D5A80"/>
            <w:u w:val="single"/>
            <w:sz w:val="22"/>
          </w:rPr>
          <w:t xml:space="preserve">https://www.baseball-reference.com/bullpen/ERA+</w:t>
        </w:r>
      </w:hyperlink>
      <w:r>
        <w:rPr>
          <w:rFonts w:ascii="Calibri" w:hAnsi="Calibri" w:eastAsia="Calibri"/>
          <w:sz w:val="22"/>
        </w:rPr>
        <w:t>. Park- and league-adjusted ERA, scaled so 100 is average. Values on this page are the pitching bWAR file’s ERA+, averaged across MLB seasons.</w:t>
      </w:r>
    </w:p>
    <w:p>
      <w:pPr>
        <w:pStyle w:val="ListBullet"/>
        <w:spacing w:after="120" w:line="259" w:lineRule="auto"/>
      </w:pPr>
      <w:r>
        <w:rPr>
          <w:rFonts w:ascii="Calibri" w:hAnsi="Calibri" w:eastAsia="Calibri"/>
          <w:sz w:val="22"/>
        </w:rPr>
        <w:t xml:space="preserve">Baseball-Reference. Pitching WAR. </w:t>
      </w:r>
      <w:hyperlink r:id="rId19">
        <w:r>
          <w:rPr>
            <w:color w:val="3D5A80"/>
            <w:u w:val="single"/>
            <w:sz w:val="22"/>
          </w:rPr>
          <w:t xml:space="preserve">https://www.baseball-reference.com/about/war_explained_pitch.shtml</w:t>
        </w:r>
      </w:hyperlink>
      <w:r>
        <w:rPr>
          <w:rFonts w:ascii="Calibri" w:hAnsi="Calibri" w:eastAsia="Calibri"/>
          <w:sz w:val="22"/>
        </w:rPr>
        <w:t>. Career WAR is the sum of seasonal bWAR from the Baseball-Reference pitching file, read with pybaseball bwar_pitch().</w:t>
      </w:r>
    </w:p>
    <w:p>
      <w:pPr>
        <w:pStyle w:val="ListBullet"/>
        <w:spacing w:after="120" w:line="259" w:lineRule="auto"/>
      </w:pPr>
      <w:r>
        <w:rPr>
          <w:rFonts w:ascii="Calibri" w:hAnsi="Calibri" w:eastAsia="Calibri"/>
          <w:sz w:val="22"/>
        </w:rPr>
        <w:t>Pearson, Karl. 1895. “Note on Regression and Inheritance in the Case of Two Parents.” Proceedings of the Royal Society of London 58: 240–242. Computed with scipy.stats.pearsonr. A metric is marked stable when |r| ≥ 0.50 and p &lt; 0.10.</w:t>
      </w:r>
    </w:p>
    <w:p>
      <w:pPr>
        <w:pStyle w:val="ListBullet"/>
        <w:spacing w:after="120" w:line="259" w:lineRule="auto"/>
      </w:pPr>
      <w:r>
        <w:rPr>
          <w:rFonts w:ascii="Calibri" w:hAnsi="Calibri" w:eastAsia="Calibri"/>
          <w:sz w:val="22"/>
        </w:rPr>
        <w:t>Pedregosa, F., et al. 2011. “Scikit-learn: Machine Learning in Python.” Journal of Machine Learning Research 12: 2825–2830. Redundancy clusters use average-linkage agglomerative clustering on distance 1 − |r|, distance threshold 0.40. A pair is redundant at |r| ≥ 0.75. GB% is left out of that matrix.</w:t>
      </w:r>
    </w:p>
    <w:p>
      <w:pPr>
        <w:pStyle w:val="ListBullet"/>
        <w:spacing w:after="120" w:line="259" w:lineRule="auto"/>
      </w:pPr>
      <w:r>
        <w:rPr>
          <w:rFonts w:ascii="Calibri" w:hAnsi="Calibri" w:eastAsia="Calibri"/>
          <w:sz w:val="22"/>
        </w:rPr>
        <w:t xml:space="preserve">Cho, Andrew. 2026. “Cross-League Equivalencies: Using Former MLB Player Data to Evaluate NPB Transfers.” </w:t>
      </w:r>
      <w:hyperlink r:id="rId20">
        <w:r>
          <w:rPr>
            <w:color w:val="3D5A80"/>
            <w:u w:val="single"/>
            <w:sz w:val="22"/>
          </w:rPr>
          <w:t xml:space="preserve">https://acho25.me/QSS82_AndrewCho.pdf</w:t>
        </w:r>
      </w:hyperlink>
      <w:r>
        <w:rPr>
          <w:rFonts w:ascii="Calibri" w:hAnsi="Calibri" w:eastAsia="Calibri"/>
          <w:sz w:val="22"/>
        </w:rPr>
        <w:t>. The 1.096 xFIP− factor is cited here and is not the stability result.</w:t>
      </w:r>
    </w:p>
    <w:p>
      <w:pPr>
        <w:pStyle w:val="Heading2"/>
        <w:spacing w:before="280" w:after="120"/>
      </w:pPr>
      <w:r>
        <w:rPr>
          <w:rFonts w:ascii="Calibri" w:hAnsi="Calibri"/>
          <w:color w:val="3D5A80"/>
        </w:rPr>
        <w:t>wOBA and wRC+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Published formulas. This analysis does not compute wOBA or wRC+. The outcomes on the page are ERA+ and bWAR.</w:t>
      </w:r>
    </w:p>
    <w:p>
      <w:pPr>
        <w:pStyle w:val="ListBullet"/>
        <w:spacing w:after="120" w:line="259" w:lineRule="auto"/>
      </w:pPr>
      <w:r>
        <w:rPr>
          <w:rFonts w:ascii="Calibri" w:hAnsi="Calibri" w:eastAsia="Calibri"/>
          <w:sz w:val="22"/>
        </w:rPr>
        <w:t>Tango, Tom M., Mitchel G. Lichtman, and Andrew E. Dolphin. 2007. The Book: Playing the Percentages in Baseball. Washington, DC: Potomac Books. Linear weights behind wOBA.</w:t>
      </w:r>
    </w:p>
    <w:p>
      <w:pPr>
        <w:pStyle w:val="ListBullet"/>
        <w:spacing w:after="120" w:line="259" w:lineRule="auto"/>
      </w:pPr>
      <w:r>
        <w:rPr>
          <w:rFonts w:ascii="Calibri" w:hAnsi="Calibri" w:eastAsia="Calibri"/>
          <w:sz w:val="22"/>
        </w:rPr>
        <w:t xml:space="preserve">FanGraphs. “wOBA.” </w:t>
      </w:r>
      <w:hyperlink r:id="rId21">
        <w:r>
          <w:rPr>
            <w:color w:val="3D5A80"/>
            <w:u w:val="single"/>
            <w:sz w:val="22"/>
          </w:rPr>
          <w:t xml:space="preserve">https://library.fangraphs.com/offense/woba/</w:t>
        </w:r>
      </w:hyperlink>
      <w:r>
        <w:rPr>
          <w:rFonts w:ascii="Calibri" w:hAnsi="Calibri" w:eastAsia="Calibri"/>
          <w:sz w:val="22"/>
        </w:rPr>
        <w:t>. wOBA = (wBB·uBB + wHBP·HBP + w1B·1B + w2B·2B + w3B·3B + wHR·HR) / (AB + BB − IBB + SF + HBP). Weights change by season.</w:t>
      </w:r>
    </w:p>
    <w:p>
      <w:pPr>
        <w:pStyle w:val="ListBullet"/>
        <w:spacing w:after="120" w:line="259" w:lineRule="auto"/>
      </w:pPr>
      <w:r>
        <w:rPr>
          <w:rFonts w:ascii="Calibri" w:hAnsi="Calibri" w:eastAsia="Calibri"/>
          <w:sz w:val="22"/>
        </w:rPr>
        <w:t xml:space="preserve">FanGraphs. Guts! constants, the season weights and the wOBA scale. </w:t>
      </w:r>
      <w:hyperlink r:id="rId22">
        <w:r>
          <w:rPr>
            <w:color w:val="3D5A80"/>
            <w:u w:val="single"/>
            <w:sz w:val="22"/>
          </w:rPr>
          <w:t xml:space="preserve">https://www.fangraphs.com/tools/guts</w:t>
        </w:r>
      </w:hyperlink>
      <w:r>
        <w:rPr>
          <w:rFonts w:ascii="Calibri" w:hAnsi="Calibri" w:eastAsia="Calibri"/>
          <w:sz w:val="22"/>
        </w:rPr>
        <w:t>.</w:t>
      </w:r>
    </w:p>
    <w:p>
      <w:pPr>
        <w:pStyle w:val="ListBullet"/>
        <w:spacing w:after="120" w:line="259" w:lineRule="auto"/>
      </w:pPr>
      <w:r>
        <w:rPr>
          <w:rFonts w:ascii="Calibri" w:hAnsi="Calibri" w:eastAsia="Calibri"/>
          <w:sz w:val="22"/>
        </w:rPr>
        <w:t xml:space="preserve">FanGraphs. “wRC and wRC+.” </w:t>
      </w:r>
      <w:hyperlink r:id="rId23">
        <w:r>
          <w:rPr>
            <w:color w:val="3D5A80"/>
            <w:u w:val="single"/>
            <w:sz w:val="22"/>
          </w:rPr>
          <w:t xml:space="preserve">https://library.fangraphs.com/offense/wrc/</w:t>
        </w:r>
      </w:hyperlink>
      <w:r>
        <w:rPr>
          <w:rFonts w:ascii="Calibri" w:hAnsi="Calibri" w:eastAsia="Calibri"/>
          <w:sz w:val="22"/>
        </w:rPr>
        <w:t>. wRC = [((wOBA − league wOBA) / wOBA scale) + (league R/PA)] × PA. wRC+ scales park-adjusted wRC per plate appearance to 100 for a league-average hitter.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olbymorris08.github.io/bundesliga-transfer-traits/asian-pitchers.html" TargetMode="External"/><Relationship Id="rId10" Type="http://schemas.openxmlformats.org/officeDocument/2006/relationships/hyperlink" Target="https://www.baseball-reference.com/register/" TargetMode="External"/><Relationship Id="rId11" Type="http://schemas.openxmlformats.org/officeDocument/2006/relationships/hyperlink" Target="https://www.baseball-reference.com/bio/Japan_born.shtml" TargetMode="External"/><Relationship Id="rId12" Type="http://schemas.openxmlformats.org/officeDocument/2006/relationships/hyperlink" Target="https://www.baseball-reference.com/bio/South-Korea_born.shtml" TargetMode="External"/><Relationship Id="rId13" Type="http://schemas.openxmlformats.org/officeDocument/2006/relationships/hyperlink" Target="https://www.baseball-reference.com/bio/Taiwan_born.shtml" TargetMode="External"/><Relationship Id="rId14" Type="http://schemas.openxmlformats.org/officeDocument/2006/relationships/hyperlink" Target="https://statsapi.mlb.com/api/v1/people/660271/stats?stats=career&amp;group=pitching" TargetMode="External"/><Relationship Id="rId15" Type="http://schemas.openxmlformats.org/officeDocument/2006/relationships/hyperlink" Target="https://baseballsavant.mlb.com/leaderboard/batted-ball?type=pitcher" TargetMode="External"/><Relationship Id="rId16" Type="http://schemas.openxmlformats.org/officeDocument/2006/relationships/hyperlink" Target="https://baseball-data-store.com/" TargetMode="External"/><Relationship Id="rId17" Type="http://schemas.openxmlformats.org/officeDocument/2006/relationships/hyperlink" Target="https://npb.jp/bis/2026/stats/pit_c.html" TargetMode="External"/><Relationship Id="rId18" Type="http://schemas.openxmlformats.org/officeDocument/2006/relationships/hyperlink" Target="https://www.baseball-reference.com/bullpen/ERA+" TargetMode="External"/><Relationship Id="rId19" Type="http://schemas.openxmlformats.org/officeDocument/2006/relationships/hyperlink" Target="https://www.baseball-reference.com/about/war_explained_pitch.shtml" TargetMode="External"/><Relationship Id="rId20" Type="http://schemas.openxmlformats.org/officeDocument/2006/relationships/hyperlink" Target="https://acho25.me/QSS82_AndrewCho.pdf" TargetMode="External"/><Relationship Id="rId21" Type="http://schemas.openxmlformats.org/officeDocument/2006/relationships/hyperlink" Target="https://library.fangraphs.com/offense/woba/" TargetMode="External"/><Relationship Id="rId22" Type="http://schemas.openxmlformats.org/officeDocument/2006/relationships/hyperlink" Target="https://www.fangraphs.com/tools/guts" TargetMode="External"/><Relationship Id="rId23" Type="http://schemas.openxmlformats.org/officeDocument/2006/relationships/hyperlink" Target="https://library.fangraphs.com/offense/wr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Sources for the Asian League to MLB Pitcher Analysis</dc:title>
  <dc:subject>Roster, rate, API, ERA+, bWAR, wOBA, and wRC+ sources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References</cp:category>
</cp:coreProperties>
</file>