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ba52b48f597cbeed81e6ab1843352b1a050ed2"/>
    <w:p>
      <w:pPr>
        <w:pStyle w:val="Heading1"/>
      </w:pPr>
      <w:r>
        <w:t xml:space="preserve">Матриця трасування (Functional Requirements ↔ Use Cases)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9"/>
        <w:gridCol w:w="638"/>
        <w:gridCol w:w="638"/>
        <w:gridCol w:w="638"/>
        <w:gridCol w:w="638"/>
        <w:gridCol w:w="638"/>
        <w:gridCol w:w="638"/>
        <w:gridCol w:w="638"/>
        <w:gridCol w:w="638"/>
        <w:gridCol w:w="766"/>
        <w:gridCol w:w="8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 UC</w:t>
            </w:r>
          </w:p>
        </w:tc>
        <w:tc>
          <w:tcPr/>
          <w:p>
            <w:pPr>
              <w:pStyle w:val="Compact"/>
            </w:pPr>
            <w:r>
              <w:t xml:space="preserve">UC1</w:t>
            </w:r>
          </w:p>
        </w:tc>
        <w:tc>
          <w:tcPr/>
          <w:p>
            <w:pPr>
              <w:pStyle w:val="Compact"/>
            </w:pPr>
            <w:r>
              <w:t xml:space="preserve">UC2</w:t>
            </w:r>
          </w:p>
        </w:tc>
        <w:tc>
          <w:tcPr/>
          <w:p>
            <w:pPr>
              <w:pStyle w:val="Compact"/>
            </w:pPr>
            <w:r>
              <w:t xml:space="preserve">UC3</w:t>
            </w:r>
          </w:p>
        </w:tc>
        <w:tc>
          <w:tcPr/>
          <w:p>
            <w:pPr>
              <w:pStyle w:val="Compact"/>
            </w:pPr>
            <w:r>
              <w:t xml:space="preserve">UC4</w:t>
            </w:r>
          </w:p>
        </w:tc>
        <w:tc>
          <w:tcPr/>
          <w:p>
            <w:pPr>
              <w:pStyle w:val="Compact"/>
            </w:pPr>
            <w:r>
              <w:t xml:space="preserve">UC5</w:t>
            </w:r>
          </w:p>
        </w:tc>
        <w:tc>
          <w:tcPr/>
          <w:p>
            <w:pPr>
              <w:pStyle w:val="Compact"/>
            </w:pPr>
            <w:r>
              <w:t xml:space="preserve">UC6</w:t>
            </w:r>
          </w:p>
        </w:tc>
        <w:tc>
          <w:tcPr/>
          <w:p>
            <w:pPr>
              <w:pStyle w:val="Compact"/>
            </w:pPr>
            <w:r>
              <w:t xml:space="preserve">UC7</w:t>
            </w:r>
          </w:p>
        </w:tc>
        <w:tc>
          <w:tcPr/>
          <w:p>
            <w:pPr>
              <w:pStyle w:val="Compact"/>
            </w:pPr>
            <w:r>
              <w:t xml:space="preserve">UC8</w:t>
            </w:r>
          </w:p>
        </w:tc>
        <w:tc>
          <w:tcPr/>
          <w:p>
            <w:pPr>
              <w:pStyle w:val="Compact"/>
            </w:pPr>
            <w:r>
              <w:t xml:space="preserve">UC9</w:t>
            </w:r>
          </w:p>
        </w:tc>
        <w:tc>
          <w:tcPr/>
          <w:p>
            <w:pPr>
              <w:pStyle w:val="Compact"/>
            </w:pPr>
            <w:r>
              <w:t xml:space="preserve">UC10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FR1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</w:tbl>
    <w:bookmarkEnd w:id="20"/>
    <w:bookmarkStart w:id="21" w:name="висновок"/>
    <w:p>
      <w:pPr>
        <w:pStyle w:val="Heading1"/>
      </w:pPr>
      <w:r>
        <w:t xml:space="preserve">Висновок</w:t>
      </w:r>
    </w:p>
    <w:p>
      <w:pPr>
        <w:pStyle w:val="Compact"/>
        <w:numPr>
          <w:ilvl w:val="0"/>
          <w:numId w:val="1001"/>
        </w:numPr>
      </w:pPr>
      <w:r>
        <w:t xml:space="preserve">Усі</w:t>
      </w:r>
      <w:r>
        <w:t xml:space="preserve"> </w:t>
      </w:r>
      <w:r>
        <w:rPr>
          <w:b/>
          <w:bCs/>
        </w:rPr>
        <w:t xml:space="preserve">функціональні вимоги повністю покриті</w:t>
      </w:r>
      <w:r>
        <w:t xml:space="preserve"> </w:t>
      </w:r>
      <w:r>
        <w:t xml:space="preserve">Use Cases.</w:t>
      </w:r>
    </w:p>
    <w:p>
      <w:pPr>
        <w:pStyle w:val="Compact"/>
        <w:numPr>
          <w:ilvl w:val="0"/>
          <w:numId w:val="1001"/>
        </w:numPr>
      </w:pPr>
      <w:r>
        <w:t xml:space="preserve">Присутні зв’язки форматів «багато-до-багатьох».</w:t>
      </w:r>
    </w:p>
    <w:p>
      <w:pPr>
        <w:pStyle w:val="Compact"/>
        <w:numPr>
          <w:ilvl w:val="0"/>
          <w:numId w:val="1001"/>
        </w:numPr>
      </w:pPr>
      <w:r>
        <w:t xml:space="preserve">Жодного Use Case без вимоги немає.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2025-12-12T18:03:38Z</dcterms:created>
  <dcterms:modified xsi:type="dcterms:W3CDTF">2025-12-12T18:03:38Z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