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Федеральное государственное образовательное бюджетное учреждение высшего образования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ФИНАНСОВЫЙ УНИВЕРСИТЕТ ПРИ ПРАВИТЕЛЬСТВЕ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РОССИЙСКОЙ ФЕДЕРАЦИИ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Колледж информатики и программирования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ПРАКТИЧЕСКАЯ РАБОТА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МДК.01.02 Поддержка и тестирование программных модулей</w:t>
      </w:r>
    </w:p>
    <w:p>
      <w:pPr>
        <w:spacing w:before="0" w:after="0" w:line="240"/>
        <w:ind w:right="-1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теме: тестирование "Белым ящиком"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Выполнили: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студенты группы 3ИСИП-422  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Джабаров М. О.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Сафутин А. С.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Проверила: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 Аксёнова Т.Г.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262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262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262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262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Москва</w:t>
      </w:r>
    </w:p>
    <w:p>
      <w:pPr>
        <w:tabs>
          <w:tab w:val="left" w:pos="2896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2025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приобрести практические навыки ручного тестирования методом "белого ящика".</w:t>
      </w:r>
    </w:p>
    <w:p>
      <w:pPr>
        <w:spacing w:before="0" w:after="0" w:line="360"/>
        <w:ind w:right="99" w:left="109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Аналитическая справка:</w:t>
      </w:r>
    </w:p>
    <w:tbl>
      <w:tblPr>
        <w:tblInd w:w="109" w:type="dxa"/>
      </w:tblPr>
      <w:tblGrid>
        <w:gridCol w:w="1679"/>
        <w:gridCol w:w="1707"/>
        <w:gridCol w:w="15"/>
        <w:gridCol w:w="1558"/>
        <w:gridCol w:w="1774"/>
        <w:gridCol w:w="1304"/>
        <w:gridCol w:w="1429"/>
      </w:tblGrid>
      <w:tr>
        <w:trPr>
          <w:trHeight w:val="1" w:hRule="atLeast"/>
          <w:jc w:val="left"/>
        </w:trPr>
        <w:tc>
          <w:tcPr>
            <w:tcW w:w="946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Информация о разработчике тестируемого приложения</w:t>
            </w:r>
          </w:p>
        </w:tc>
      </w:tr>
      <w:tr>
        <w:trPr>
          <w:trHeight w:val="1" w:hRule="atLeast"/>
          <w:jc w:val="left"/>
        </w:trPr>
        <w:tc>
          <w:tcPr>
            <w:tcW w:w="338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ИСИП-422</w:t>
            </w:r>
          </w:p>
        </w:tc>
        <w:tc>
          <w:tcPr>
            <w:tcW w:w="334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Кочеткова Ю., Дубкова В.</w:t>
            </w:r>
          </w:p>
        </w:tc>
        <w:tc>
          <w:tcPr>
            <w:tcW w:w="27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Вариант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4</w:t>
            </w:r>
          </w:p>
        </w:tc>
      </w:tr>
      <w:tr>
        <w:trPr>
          <w:trHeight w:val="885" w:hRule="auto"/>
          <w:jc w:val="left"/>
        </w:trPr>
        <w:tc>
          <w:tcPr>
            <w:tcW w:w="338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4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579" w:dyaOrig="827">
                <v:rect xmlns:o="urn:schemas-microsoft-com:office:office" xmlns:v="urn:schemas-microsoft-com:vml" id="rectole0000000000" style="width:128.950000pt;height:41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99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6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Информация о тестировщике</w:t>
            </w:r>
          </w:p>
        </w:tc>
      </w:tr>
      <w:tr>
        <w:trPr>
          <w:trHeight w:val="1" w:hRule="atLeast"/>
          <w:jc w:val="left"/>
        </w:trPr>
        <w:tc>
          <w:tcPr>
            <w:tcW w:w="340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ИСИП-422</w:t>
            </w:r>
          </w:p>
        </w:tc>
        <w:tc>
          <w:tcPr>
            <w:tcW w:w="333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Джабаров М., Сафутин А.</w:t>
            </w:r>
          </w:p>
        </w:tc>
        <w:tc>
          <w:tcPr>
            <w:tcW w:w="27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Дата тестирования: 05.02.2025</w:t>
            </w:r>
          </w:p>
        </w:tc>
      </w:tr>
      <w:tr>
        <w:trPr>
          <w:trHeight w:val="1" w:hRule="atLeast"/>
          <w:jc w:val="left"/>
        </w:trPr>
        <w:tc>
          <w:tcPr>
            <w:tcW w:w="946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Виды тестирования по различным критериям</w:t>
            </w:r>
          </w:p>
        </w:tc>
      </w:tr>
      <w:tr>
        <w:trPr>
          <w:trHeight w:val="1" w:hRule="atLeast"/>
          <w:jc w:val="left"/>
        </w:trPr>
        <w:tc>
          <w:tcPr>
            <w:tcW w:w="1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 объекту тестирования: функциональное </w:t>
            </w:r>
          </w:p>
        </w:tc>
        <w:tc>
          <w:tcPr>
            <w:tcW w:w="172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 знанию системы: метод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Белого ящика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 степени автоматизированности: ручное тестирование</w:t>
            </w:r>
          </w:p>
        </w:tc>
        <w:tc>
          <w:tcPr>
            <w:tcW w:w="17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 степени изолированности: модульное 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 степени проведения: Альфа</w:t>
            </w:r>
          </w:p>
        </w:tc>
        <w:tc>
          <w:tcPr>
            <w:tcW w:w="1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 признаку позитивности сценариев: позитивное и негативное</w:t>
            </w:r>
          </w:p>
        </w:tc>
      </w:tr>
    </w:tbl>
    <w:p>
      <w:pPr>
        <w:spacing w:before="0" w:after="0" w:line="240"/>
        <w:ind w:right="99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96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Таблица 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Тестовые наборы данных</w:t>
      </w:r>
    </w:p>
    <w:tbl>
      <w:tblPr/>
      <w:tblGrid>
        <w:gridCol w:w="1242"/>
        <w:gridCol w:w="1843"/>
        <w:gridCol w:w="1955"/>
        <w:gridCol w:w="1305"/>
        <w:gridCol w:w="1276"/>
        <w:gridCol w:w="1950"/>
      </w:tblGrid>
      <w:tr>
        <w:trPr>
          <w:trHeight w:val="1" w:hRule="atLeast"/>
          <w:jc w:val="left"/>
        </w:trPr>
        <w:tc>
          <w:tcPr>
            <w:tcW w:w="124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теста</w:t>
            </w:r>
          </w:p>
        </w:tc>
        <w:tc>
          <w:tcPr>
            <w:tcW w:w="184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f(x)</w:t>
            </w:r>
          </w:p>
        </w:tc>
        <w:tc>
          <w:tcPr>
            <w:tcW w:w="195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Проверяемые условия</w:t>
              <w:br/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(вставить из функции варианта задания)</w:t>
            </w:r>
          </w:p>
        </w:tc>
        <w:tc>
          <w:tcPr>
            <w:tcW w:w="25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Исходные данные</w:t>
            </w:r>
          </w:p>
        </w:tc>
        <w:tc>
          <w:tcPr>
            <w:tcW w:w="19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Значение функции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  <w:tc>
          <w:tcPr>
            <w:tcW w:w="1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4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sh(x)</w:t>
            </w:r>
          </w:p>
        </w:tc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x &gt; y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212024"/>
                <w:spacing w:val="0"/>
                <w:position w:val="0"/>
                <w:sz w:val="21"/>
                <w:shd w:fill="FFFFFF" w:val="clear"/>
              </w:rPr>
              <w:t xml:space="preserve">850,511432795716</w:t>
            </w:r>
          </w:p>
        </w:tc>
      </w:tr>
      <w:tr>
        <w:trPr>
          <w:trHeight w:val="405" w:hRule="auto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4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 &gt; x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212024"/>
                <w:spacing w:val="0"/>
                <w:position w:val="0"/>
                <w:sz w:val="21"/>
                <w:shd w:fill="FFFFFF" w:val="clear"/>
              </w:rPr>
              <w:t xml:space="preserve">35,7090623467552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84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 = x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212024"/>
                <w:spacing w:val="0"/>
                <w:position w:val="0"/>
                <w:sz w:val="21"/>
                <w:shd w:fill="FFFFFF" w:val="clear"/>
              </w:rPr>
              <w:t xml:space="preserve">163,982948985761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84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2</w:t>
            </w:r>
          </w:p>
        </w:tc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x &gt; y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212024"/>
                <w:spacing w:val="0"/>
                <w:position w:val="0"/>
                <w:sz w:val="21"/>
                <w:shd w:fill="FFFFFF" w:val="clear"/>
              </w:rPr>
              <w:t xml:space="preserve">229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84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 &gt; x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212024"/>
                <w:spacing w:val="0"/>
                <w:position w:val="0"/>
                <w:sz w:val="21"/>
                <w:shd w:fill="FFFFFF" w:val="clear"/>
              </w:rPr>
              <w:t xml:space="preserve">232,34846922835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84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 = x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-1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212024"/>
                <w:spacing w:val="0"/>
                <w:position w:val="0"/>
                <w:sz w:val="21"/>
                <w:shd w:fill="FFFFFF" w:val="clear"/>
              </w:rPr>
              <w:t xml:space="preserve">-i</w:t>
            </w:r>
          </w:p>
        </w:tc>
      </w:tr>
      <w:tr>
        <w:trPr>
          <w:trHeight w:val="390" w:hRule="auto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84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x</w:t>
            </w:r>
          </w:p>
        </w:tc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x &gt; y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212024"/>
                <w:spacing w:val="0"/>
                <w:position w:val="0"/>
                <w:sz w:val="21"/>
                <w:shd w:fill="FFFFFF" w:val="clear"/>
              </w:rPr>
              <w:t xml:space="preserve">164344,101354251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84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 &gt; x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212024"/>
                <w:spacing w:val="0"/>
                <w:position w:val="0"/>
                <w:sz w:val="21"/>
                <w:shd w:fill="FFFFFF" w:val="clear"/>
              </w:rPr>
              <w:t xml:space="preserve">132,371965199093</w:t>
            </w:r>
          </w:p>
        </w:tc>
      </w:tr>
      <w:tr>
        <w:trPr>
          <w:trHeight w:val="200" w:hRule="auto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184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 = x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99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212024"/>
                <w:spacing w:val="0"/>
                <w:position w:val="0"/>
                <w:sz w:val="21"/>
                <w:shd w:fill="FFFFFF" w:val="clear"/>
              </w:rPr>
              <w:t xml:space="preserve">485605355,402069</w:t>
            </w:r>
          </w:p>
        </w:tc>
      </w:tr>
    </w:tbl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Таблица 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Журнал тестирования</w:t>
      </w:r>
    </w:p>
    <w:tbl>
      <w:tblPr/>
      <w:tblGrid>
        <w:gridCol w:w="1337"/>
        <w:gridCol w:w="1465"/>
        <w:gridCol w:w="1842"/>
        <w:gridCol w:w="1701"/>
        <w:gridCol w:w="1560"/>
        <w:gridCol w:w="1701"/>
      </w:tblGrid>
      <w:tr>
        <w:trPr>
          <w:trHeight w:val="1222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теста</w:t>
            </w:r>
          </w:p>
        </w:tc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Входные данные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Вводимое значение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Ожидаемая реакция программы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Фактическая реакция программы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Ошибка выявлена</w:t>
            </w:r>
          </w:p>
        </w:tc>
      </w:tr>
      <w:tr>
        <w:trPr>
          <w:trHeight w:val="1" w:hRule="atLeast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x, y, f(x)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4;2;sh(x)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f(x) = </w:t>
            </w:r>
            <w:r>
              <w:rPr>
                <w:rFonts w:ascii="Segoe UI" w:hAnsi="Segoe UI" w:cs="Segoe UI" w:eastAsia="Segoe UI"/>
                <w:color w:val="212024"/>
                <w:spacing w:val="0"/>
                <w:position w:val="0"/>
                <w:sz w:val="21"/>
                <w:shd w:fill="FFFFFF" w:val="clear"/>
              </w:rPr>
              <w:t xml:space="preserve">850,511432795716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См. рисунок 1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Нет</w:t>
            </w:r>
          </w:p>
        </w:tc>
      </w:tr>
      <w:tr>
        <w:trPr>
          <w:trHeight w:val="1" w:hRule="atLeast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x, y, f(x)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1;5;sh(x)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f(x) = 35,7090623467552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См. рисунок 2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Нет</w:t>
            </w:r>
          </w:p>
        </w:tc>
      </w:tr>
      <w:tr>
        <w:trPr>
          <w:trHeight w:val="1" w:hRule="atLeast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x, y, f(x)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3;3;sh(x)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f(x) = 163,982948985761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См. рисунок 3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Нет</w:t>
            </w:r>
          </w:p>
        </w:tc>
      </w:tr>
      <w:tr>
        <w:trPr>
          <w:trHeight w:val="1" w:hRule="atLeast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x, y, f(x)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;-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;x^2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f(x) = </w:t>
            </w:r>
            <w:r>
              <w:rPr>
                <w:rFonts w:ascii="Segoe UI" w:hAnsi="Segoe UI" w:cs="Segoe UI" w:eastAsia="Segoe UI"/>
                <w:color w:val="212024"/>
                <w:spacing w:val="0"/>
                <w:position w:val="0"/>
                <w:sz w:val="21"/>
                <w:shd w:fill="FFFFFF" w:val="clear"/>
              </w:rPr>
              <w:t xml:space="preserve">229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См. рисунок 4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Нет</w:t>
            </w:r>
          </w:p>
        </w:tc>
      </w:tr>
      <w:tr>
        <w:trPr>
          <w:trHeight w:val="1" w:hRule="atLeast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x, y, f(x)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;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;x^2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f(x) = x^2 = </w:t>
            </w:r>
            <w:r>
              <w:rPr>
                <w:rFonts w:ascii="Segoe UI" w:hAnsi="Segoe UI" w:cs="Segoe UI" w:eastAsia="Segoe UI"/>
                <w:color w:val="212024"/>
                <w:spacing w:val="0"/>
                <w:position w:val="0"/>
                <w:sz w:val="21"/>
                <w:shd w:fill="FFFFFF" w:val="clear"/>
              </w:rPr>
              <w:t xml:space="preserve">232,34846922835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См. рисунок 5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Нет</w:t>
            </w:r>
          </w:p>
        </w:tc>
      </w:tr>
      <w:tr>
        <w:trPr>
          <w:trHeight w:val="1" w:hRule="atLeast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x, y, f(x)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;-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;x^2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f(x) = </w:t>
            </w:r>
            <w:r>
              <w:rPr>
                <w:rFonts w:ascii="Segoe UI" w:hAnsi="Segoe UI" w:cs="Segoe UI" w:eastAsia="Segoe UI"/>
                <w:color w:val="212024"/>
                <w:spacing w:val="0"/>
                <w:position w:val="0"/>
                <w:sz w:val="21"/>
                <w:shd w:fill="FFFFFF" w:val="clear"/>
              </w:rPr>
              <w:t xml:space="preserve">-i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См. рисунок 6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Нет</w:t>
            </w:r>
          </w:p>
        </w:tc>
      </w:tr>
      <w:tr>
        <w:trPr>
          <w:trHeight w:val="1" w:hRule="atLeast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x, y, f(x)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;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;e^x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f(x) = </w:t>
            </w:r>
            <w:r>
              <w:rPr>
                <w:rFonts w:ascii="Segoe UI" w:hAnsi="Segoe UI" w:cs="Segoe UI" w:eastAsia="Segoe UI"/>
                <w:color w:val="212024"/>
                <w:spacing w:val="0"/>
                <w:position w:val="0"/>
                <w:sz w:val="21"/>
                <w:shd w:fill="FFFFFF" w:val="clear"/>
              </w:rPr>
              <w:t xml:space="preserve">164344,101354251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См. рисунок 7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Нет</w:t>
            </w:r>
          </w:p>
        </w:tc>
      </w:tr>
      <w:tr>
        <w:trPr>
          <w:trHeight w:val="1" w:hRule="atLeast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x, y, f(x)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;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;e^x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f(x) = </w:t>
            </w:r>
            <w:r>
              <w:rPr>
                <w:rFonts w:ascii="Segoe UI" w:hAnsi="Segoe UI" w:cs="Segoe UI" w:eastAsia="Segoe UI"/>
                <w:color w:val="212024"/>
                <w:spacing w:val="0"/>
                <w:position w:val="0"/>
                <w:sz w:val="21"/>
                <w:shd w:fill="FFFFFF" w:val="clear"/>
              </w:rPr>
              <w:t xml:space="preserve">132,371965199093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См. рисунок 8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Нет</w:t>
            </w:r>
          </w:p>
        </w:tc>
      </w:tr>
      <w:tr>
        <w:trPr>
          <w:trHeight w:val="1" w:hRule="atLeast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x, y, f(x)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;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;e^x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f(x) = </w:t>
            </w:r>
            <w:r>
              <w:rPr>
                <w:rFonts w:ascii="Segoe UI" w:hAnsi="Segoe UI" w:cs="Segoe UI" w:eastAsia="Segoe UI"/>
                <w:color w:val="212024"/>
                <w:spacing w:val="0"/>
                <w:position w:val="0"/>
                <w:sz w:val="21"/>
                <w:shd w:fill="FFFFFF" w:val="clear"/>
              </w:rPr>
              <w:t xml:space="preserve">485605355,402069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См. рисунок 9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Нет</w:t>
            </w:r>
          </w:p>
        </w:tc>
      </w:tr>
      <w:tr>
        <w:trPr>
          <w:trHeight w:val="465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x, y, f(x)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« »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Ошибка 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Пожалуйста, заполните все поля ввода. 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См. рисунок 10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Нет </w:t>
            </w:r>
          </w:p>
        </w:tc>
      </w:tr>
      <w:tr>
        <w:trPr>
          <w:trHeight w:val="1" w:hRule="atLeast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x, y, f(x)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п;у;x^2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Ошибка 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Некорректный формат числа. Введите действительное число.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См. рисунок 11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Нет </w:t>
            </w:r>
          </w:p>
        </w:tc>
      </w:tr>
      <w:tr>
        <w:trPr>
          <w:trHeight w:val="1" w:hRule="atLeast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« »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« »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Подтверждение выхода 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Вы действительно хотите выйти?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См. рисунок 12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Нет</w:t>
            </w:r>
          </w:p>
        </w:tc>
      </w:tr>
      <w:tr>
        <w:trPr>
          <w:trHeight w:val="1" w:hRule="atLeast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f(x)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x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Ошибка 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Пожалуйста, заполните все поля ввода.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См. рисунок 13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Нет </w:t>
            </w:r>
          </w:p>
        </w:tc>
      </w:tr>
      <w:tr>
        <w:trPr>
          <w:trHeight w:val="1" w:hRule="atLeast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« »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« »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Появление подсказок при наведении на поля и элементы программы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См. рисунки 14, 15, 16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Нет</w:t>
            </w:r>
          </w:p>
        </w:tc>
      </w:tr>
      <w:tr>
        <w:trPr>
          <w:trHeight w:val="1" w:hRule="atLeast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x, y, f(x)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3;4;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e^x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Заблокирована возможность изменения поля ответа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См. рисунок 17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4"/>
                <w:shd w:fill="auto" w:val="clear"/>
              </w:rPr>
              <w:t xml:space="preserve">Нет 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7545" w:dyaOrig="5400">
          <v:rect xmlns:o="urn:schemas-microsoft-com:office:office" xmlns:v="urn:schemas-microsoft-com:vml" id="rectole0000000001" style="width:377.250000pt;height:27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Проверка работы калькулятора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7515" w:dyaOrig="5355">
          <v:rect xmlns:o="urn:schemas-microsoft-com:office:office" xmlns:v="urn:schemas-microsoft-com:vml" id="rectole0000000002" style="width:375.750000pt;height:26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Проверка работы калькулятора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85" w:dyaOrig="5309">
          <v:rect xmlns:o="urn:schemas-microsoft-com:office:office" xmlns:v="urn:schemas-microsoft-com:vml" id="rectole0000000003" style="width:374.250000pt;height:265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Проверка работы калькулятора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7515" w:dyaOrig="5325">
          <v:rect xmlns:o="urn:schemas-microsoft-com:office:office" xmlns:v="urn:schemas-microsoft-com:vml" id="rectole0000000004" style="width:375.750000pt;height:266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Проверка работы калькулятора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7455" w:dyaOrig="5220">
          <v:rect xmlns:o="urn:schemas-microsoft-com:office:office" xmlns:v="urn:schemas-microsoft-com:vml" id="rectole0000000005" style="width:372.750000pt;height:261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Проверка работы калькулятора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7499" w:dyaOrig="5339">
          <v:rect xmlns:o="urn:schemas-microsoft-com:office:office" xmlns:v="urn:schemas-microsoft-com:vml" id="rectole0000000006" style="width:374.950000pt;height:266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Проверка работы калькулятора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85" w:dyaOrig="5265">
          <v:rect xmlns:o="urn:schemas-microsoft-com:office:office" xmlns:v="urn:schemas-microsoft-com:vml" id="rectole0000000007" style="width:374.250000pt;height:263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Проверка работы калькулятора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7485" w:dyaOrig="5309">
          <v:rect xmlns:o="urn:schemas-microsoft-com:office:office" xmlns:v="urn:schemas-microsoft-com:vml" id="rectole0000000008" style="width:374.250000pt;height:265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8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Проверка работы калькулятора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60" w:dyaOrig="5295">
          <v:rect xmlns:o="urn:schemas-microsoft-com:office:office" xmlns:v="urn:schemas-microsoft-com:vml" id="rectole0000000009" style="width:378.000000pt;height:264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9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Проверка работы калькулятора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5625">
          <v:rect xmlns:o="urn:schemas-microsoft-com:office:office" xmlns:v="urn:schemas-microsoft-com:vml" id="rectole0000000010" style="width:414.700000pt;height:281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Проверка валидации ввода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294" w:dyaOrig="4875">
          <v:rect xmlns:o="urn:schemas-microsoft-com:office:office" xmlns:v="urn:schemas-microsoft-com:vml" id="rectole0000000011" style="width:414.700000pt;height:243.7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11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Проверка валидации ввода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294" w:dyaOrig="5520">
          <v:rect xmlns:o="urn:schemas-microsoft-com:office:office" xmlns:v="urn:schemas-microsoft-com:vml" id="rectole0000000012" style="width:414.700000pt;height:276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12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Проверка попытки выхода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5474">
          <v:rect xmlns:o="urn:schemas-microsoft-com:office:office" xmlns:v="urn:schemas-microsoft-com:vml" id="rectole0000000013" style="width:414.700000pt;height:273.7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13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Проверка валидации ввода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7545" w:dyaOrig="5295">
          <v:rect xmlns:o="urn:schemas-microsoft-com:office:office" xmlns:v="urn:schemas-microsoft-com:vml" id="rectole0000000014" style="width:377.250000pt;height:264.7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14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Проверка всплывающей полсказки для ф-ции</w:t>
        <w:br/>
      </w:r>
      <w:r>
        <w:object w:dxaOrig="7499" w:dyaOrig="5414">
          <v:rect xmlns:o="urn:schemas-microsoft-com:office:office" xmlns:v="urn:schemas-microsoft-com:vml" id="rectole0000000015" style="width:374.950000pt;height:270.7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15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Проверка всплывающей полсказки для ф-ции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60" w:dyaOrig="5355">
          <v:rect xmlns:o="urn:schemas-microsoft-com:office:office" xmlns:v="urn:schemas-microsoft-com:vml" id="rectole0000000016" style="width:378.000000pt;height:267.7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16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Проверка всплывающей полсказки для ф-ции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99" w:dyaOrig="5400">
          <v:rect xmlns:o="urn:schemas-microsoft-com:office:office" xmlns:v="urn:schemas-microsoft-com:vml" id="rectole0000000017" style="width:374.950000pt;height:270.0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Проверка всплывающей полсказки для ф-ции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ходе выполнения практической работы были получены практические навыки ручного тестирования методом "белого ящика". В процессе анализа исходного кода программы и выполнения тестовых сценариев, основанных на понимании внутренней структуры и логики работы программы, ошибок обнаружено не было. Программа демонстрирует ожидаемое поведение, а все проверяемые условия и ветви кода функционируют корректно. На основании проведённого тестирования можно заключить, что программа успешно прошла проверку, и её качество соответствует установленным требованиям. Приобретённые навыки ручного тестирования могут быть полезны в дальнейшем для анализа и проверки других программных продуктов.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styles.xml" Id="docRId37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