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40" w:lineRule="auto"/>
        <w:jc w:val="center"/>
      </w:pPr>
      <w:r>
        <w:rPr>
          <w:rFonts w:ascii="仿宋_GB2312" w:hAnsi="仿宋_GB2312" w:eastAsia="仿宋_GB2312"/>
          <w:b w:val="0"/>
          <w:sz w:val="48"/>
        </w:rPr>
        <w:t>工程量确认单</w:t>
      </w:r>
    </w:p>
    <w:p>
      <w:pPr>
        <w:spacing w:before="0" w:after="200" w:line="240" w:lineRule="auto"/>
      </w:pPr>
      <w:r>
        <w:rPr>
          <w:rFonts w:ascii="仿宋_GB2312" w:hAnsi="仿宋_GB2312" w:eastAsia="仿宋_GB2312"/>
          <w:b w:val="0"/>
          <w:sz w:val="21"/>
        </w:rPr>
        <w:t>说明：本确认单根据《工作联系单》（编号1，已签字盖章，署名使用单位为“琼海市石壁镇中心幼儿园”，即南俸幼儿园）与《工作联系单》（编号2，补充）整理调整，替代原《工程量确认单》计量编号001（南俸幼儿园）。条目顺序已按工作联系单顺序重排，与工作联系单内容不一致或联系单中已取消的内容，均在对应条目下加注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trHeight w:val="1701" w:hRule="atLeast"/>
        </w:trPr>
        <w:tc>
          <w:tcPr>
            <w:tcW w:type="dxa" w:w="163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工程名称</w:t>
            </w:r>
          </w:p>
        </w:tc>
        <w:tc>
          <w:tcPr>
            <w:tcW w:type="dxa" w:w="4144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东升、东红、千秋、东平、南俸、上埇和机关等7所幼儿园室外配套附属设施建设工程-南俸幼儿园室外配套附属设施建设工程</w:t>
            </w:r>
          </w:p>
        </w:tc>
        <w:tc>
          <w:tcPr>
            <w:tcW w:type="dxa" w:w="947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内容</w:t>
            </w:r>
          </w:p>
        </w:tc>
        <w:tc>
          <w:tcPr>
            <w:tcW w:type="dxa" w:w="3101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南俸幼儿园增加部分改造工程</w:t>
            </w:r>
          </w:p>
        </w:tc>
      </w:tr>
      <w:tr>
        <w:trPr>
          <w:trHeight w:val="958" w:hRule="atLeast"/>
        </w:trPr>
        <w:tc>
          <w:tcPr>
            <w:tcW w:type="dxa" w:w="163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位置</w:t>
            </w:r>
          </w:p>
        </w:tc>
        <w:tc>
          <w:tcPr>
            <w:tcW w:type="dxa" w:w="414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南俸幼儿园</w:t>
            </w:r>
          </w:p>
        </w:tc>
        <w:tc>
          <w:tcPr>
            <w:tcW w:type="dxa" w:w="9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计量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编号</w:t>
            </w:r>
          </w:p>
        </w:tc>
        <w:tc>
          <w:tcPr>
            <w:tcW w:type="dxa" w:w="310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001（修订）</w:t>
            </w:r>
          </w:p>
        </w:tc>
      </w:tr>
    </w:tbl>
    <w:p>
      <w:pPr>
        <w:spacing w:before="120" w:after="0" w:line="240" w:lineRule="auto"/>
      </w:pPr>
      <w:r>
        <w:rPr>
          <w:rFonts w:ascii="仿宋_GB2312" w:hAnsi="仿宋_GB2312" w:eastAsia="仿宋_GB2312"/>
          <w:b w:val="0"/>
          <w:sz w:val="24"/>
        </w:rPr>
        <w:t>事由：关于南俸幼儿园增加部分改造工程的确认事宜</w:t>
      </w:r>
    </w:p>
    <w:p>
      <w:pPr>
        <w:spacing w:before="0" w:after="80" w:line="240" w:lineRule="auto"/>
        <w:ind w:firstLine="480"/>
      </w:pPr>
      <w:r>
        <w:rPr>
          <w:rFonts w:ascii="仿宋_GB2312" w:hAnsi="仿宋_GB2312" w:eastAsia="仿宋_GB2312"/>
          <w:b w:val="0"/>
          <w:sz w:val="24"/>
        </w:rPr>
        <w:t>根据会议纪要，结合使用单位提出的若干意见做出修改，修改内容如下：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1.取消地块南侧大门外拆除新建的沥青路952.75㎡，及配套排水沟145.64m、路缘石180m.同时增设35m成品双波形防护栏；（对应工作联系单一第1条，其中防护栏材质经设计单位优化调整为双波形防护栏）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2.原设计的沙水区域，变更为戏水池，而周边原本铺设的鹅卵石171.93㎡，亦替换为大理石地面143.5㎡；（对应工作联系单一第2条）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3.原设计趣味花架1个，变更为沙池1个，再把原设计的探索长廊安装位置改至沙池区域；（对应工作联系单一第3条）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4.原设计攀爬活动区66.1㎡，取消施工；（对应工作联系单一第4条）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5.原设计的EPDM地板取消1470.61㎡，硬化区域现调整硬化为200厚级配碎石+200厚C25混凝土（工序：拉毛.切缝宽6mm,深5cm.填充沥青砂浆.棉毡养护）1697.85㎡，活动场区域改为再硬化后增铺1.6厚300×300悬浮式地板1599㎡；（注：工作联系单一第5条原为“EPDM地板调整为右侧EPDM材质、中间硬化、左侧悬浮地板三个区域混合设计”，经现场核实，最终方案为原设计EPDM地板全部取消，以本条为准。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6.沿着红线点1-2-3-4-5-6-7-8新建围墙224.86m；（对应工作联系单一第6条“增加铁艺围栏”，确认单未明确材质，如与铁艺围栏有出入，以现场实际施工为准）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7.原设计仿木纹砖109.6㎡，变更为与现场相邻地板相同的做法；（对应工作联系单一第7条）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8.另增加8m高砼电线杆1根；变压器周边增设成品隔离护栏18m；（对应工作联系单一第8条；注：联系单一第8条提到的变压器容量250KVA及高压计量设备为设备参数，不纳入本次工程量确认范围）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9.取消LOGO墙4.5m³；（对应工作联系单二第1条）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10.应使用单位要求取消场地东南角的攀爬区66.1㎡；（对应工作联系单二第2条）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11.绿化位置增加成品木栅栏。（对应工作联系单二第3条）</w:t>
      </w:r>
    </w:p>
    <w:p>
      <w:pPr>
        <w:spacing w:before="120" w:after="160" w:line="240" w:lineRule="auto"/>
      </w:pPr>
      <w:r>
        <w:rPr>
          <w:rFonts w:ascii="仿宋_GB2312" w:hAnsi="仿宋_GB2312" w:eastAsia="仿宋_GB2312"/>
          <w:b w:val="0"/>
          <w:sz w:val="24"/>
        </w:rPr>
        <w:t>以上变更工程量详见后附计算表。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trHeight w:val="2449" w:hRule="atLeast"/>
        </w:trPr>
        <w:tc>
          <w:tcPr>
            <w:tcW w:type="dxa" w:w="2375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建设单位意见：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代管单位意见：</w:t>
            </w:r>
          </w:p>
        </w:tc>
        <w:tc>
          <w:tcPr>
            <w:tcW w:type="dxa" w:w="2534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监理单位意见：</w:t>
            </w:r>
          </w:p>
        </w:tc>
        <w:tc>
          <w:tcPr>
            <w:tcW w:type="dxa" w:w="2540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施工单位意见：</w:t>
            </w:r>
          </w:p>
        </w:tc>
      </w:tr>
    </w:tbl>
    <w:sectPr w:rsidR="00FC693F" w:rsidRPr="0006063C" w:rsidSect="00034616">
      <w:pgSz w:w="12240" w:h="15840"/>
      <w:pgMar w:top="907" w:right="1043" w:bottom="907" w:left="10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