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line="240" w:lineRule="auto"/>
        <w:jc w:val="center"/>
      </w:pPr>
      <w:r>
        <w:rPr>
          <w:rFonts w:ascii="仿宋_GB2312" w:hAnsi="仿宋_GB2312" w:eastAsia="仿宋_GB2312"/>
          <w:b w:val="0"/>
          <w:sz w:val="48"/>
        </w:rPr>
        <w:t>工程量确认单</w:t>
      </w:r>
    </w:p>
    <w:p>
      <w:pPr>
        <w:spacing w:before="0" w:after="200" w:line="240" w:lineRule="auto"/>
      </w:pPr>
      <w:r>
        <w:rPr>
          <w:rFonts w:ascii="仿宋_GB2312" w:hAnsi="仿宋_GB2312" w:eastAsia="仿宋_GB2312"/>
          <w:b w:val="0"/>
          <w:sz w:val="21"/>
        </w:rPr>
        <w:t>说明：本确认单根据《工作联系单》（编号1，已签字盖章）与《工作联系单》（编号2，补充）整理调整，替代原《工程量确认单》计量编号006（上埇幼儿园）。条目顺序已按工作联系单顺序重排，与工作联系单内容不一致或联系单中已取消的内容，均在对应条目下加注说明；本单为该校本轮问题最复杂的一份，部分条目因联系单与确认单差异较大，已单独加注说明，请重点复核。</w:t>
      </w:r>
    </w:p>
    <w:tbl>
      <w:tblPr>
        <w:tblStyle w:val="TableGrid"/>
        <w:tblW w:type="auto" w:w="0"/>
        <w:jc w:val="center"/>
        <w:tblLayout w:type="fixed"/>
        <w:tblLook w:firstColumn="1" w:firstRow="1" w:lastColumn="0" w:lastRow="0" w:noHBand="0" w:noVBand="1" w:val="04A0"/>
      </w:tblPr>
      <w:tblGrid>
        <w:gridCol w:w="2538"/>
        <w:gridCol w:w="2538"/>
        <w:gridCol w:w="2538"/>
        <w:gridCol w:w="2538"/>
      </w:tblGrid>
      <w:tr>
        <w:trPr>
          <w:trHeight w:val="1701" w:hRule="atLeast"/>
        </w:trPr>
        <w:tc>
          <w:tcPr>
            <w:tcW w:type="dxa" w:w="1633"/>
            <w:tcMar>
              <w:top w:w="40" w:type="dxa"/>
              <w:bottom w:w="40" w:type="dxa"/>
              <w:left w:w="80" w:type="dxa"/>
              <w:right w:w="80" w:type="dxa"/>
            </w:tcMar>
            <w:vAlign w:val="center"/>
          </w:tcPr>
          <w:p>
            <w:pPr>
              <w:spacing w:before="0" w:after="0" w:line="240" w:lineRule="auto"/>
              <w:jc w:val="center"/>
            </w:pPr>
            <w:r/>
            <w:r>
              <w:rPr>
                <w:rFonts w:ascii="仿宋_GB2312" w:hAnsi="仿宋_GB2312" w:eastAsia="仿宋_GB2312"/>
                <w:b w:val="0"/>
                <w:sz w:val="24"/>
              </w:rPr>
              <w:t>工程名称</w:t>
            </w:r>
          </w:p>
        </w:tc>
        <w:tc>
          <w:tcPr>
            <w:tcW w:type="dxa" w:w="4144"/>
            <w:tcMar>
              <w:top w:w="40" w:type="dxa"/>
              <w:bottom w:w="40" w:type="dxa"/>
              <w:left w:w="80" w:type="dxa"/>
              <w:right w:w="80" w:type="dxa"/>
            </w:tcMar>
            <w:vAlign w:val="top"/>
          </w:tcPr>
          <w:p>
            <w:pPr>
              <w:spacing w:before="0" w:after="0" w:line="240" w:lineRule="auto"/>
              <w:jc w:val="left"/>
            </w:pPr>
            <w:r/>
            <w:r>
              <w:rPr>
                <w:rFonts w:ascii="仿宋_GB2312" w:hAnsi="仿宋_GB2312" w:eastAsia="仿宋_GB2312"/>
                <w:b w:val="0"/>
                <w:sz w:val="24"/>
              </w:rPr>
              <w:t>东升、东红、千秋、东平、南俸、上埇和机关等7所幼儿园室外配套附属设施建设工程-嘉积镇上埇幼儿园室外配套附属设施建设工程</w:t>
            </w:r>
          </w:p>
        </w:tc>
        <w:tc>
          <w:tcPr>
            <w:tcW w:type="dxa" w:w="947"/>
            <w:tcMar>
              <w:top w:w="40" w:type="dxa"/>
              <w:bottom w:w="40" w:type="dxa"/>
              <w:left w:w="80" w:type="dxa"/>
              <w:right w:w="80" w:type="dxa"/>
            </w:tcMar>
            <w:vAlign w:val="top"/>
          </w:tcPr>
          <w:p>
            <w:pPr>
              <w:spacing w:before="0" w:after="0" w:line="240" w:lineRule="auto"/>
              <w:jc w:val="center"/>
            </w:pPr>
            <w:r/>
            <w:r>
              <w:rPr>
                <w:rFonts w:ascii="仿宋_GB2312" w:hAnsi="仿宋_GB2312" w:eastAsia="仿宋_GB2312"/>
                <w:b w:val="0"/>
                <w:sz w:val="24"/>
              </w:rPr>
              <w:t>内容</w:t>
            </w:r>
          </w:p>
        </w:tc>
        <w:tc>
          <w:tcPr>
            <w:tcW w:type="dxa" w:w="3101"/>
            <w:tcMar>
              <w:top w:w="40" w:type="dxa"/>
              <w:bottom w:w="40" w:type="dxa"/>
              <w:left w:w="80" w:type="dxa"/>
              <w:right w:w="80" w:type="dxa"/>
            </w:tcMar>
            <w:vAlign w:val="top"/>
          </w:tcPr>
          <w:p>
            <w:pPr>
              <w:spacing w:before="0" w:after="0" w:line="240" w:lineRule="auto"/>
              <w:jc w:val="left"/>
            </w:pPr>
            <w:r/>
            <w:r>
              <w:rPr>
                <w:rFonts w:ascii="仿宋_GB2312" w:hAnsi="仿宋_GB2312" w:eastAsia="仿宋_GB2312"/>
                <w:b w:val="0"/>
                <w:sz w:val="24"/>
              </w:rPr>
              <w:t>上埇幼儿园增加部分改造工程</w:t>
            </w:r>
          </w:p>
        </w:tc>
      </w:tr>
      <w:tr>
        <w:trPr>
          <w:trHeight w:val="958" w:hRule="atLeast"/>
        </w:trPr>
        <w:tc>
          <w:tcPr>
            <w:tcW w:type="dxa" w:w="1633"/>
            <w:tcMar>
              <w:top w:w="40" w:type="dxa"/>
              <w:bottom w:w="40" w:type="dxa"/>
              <w:left w:w="80" w:type="dxa"/>
              <w:right w:w="80" w:type="dxa"/>
            </w:tcMar>
            <w:vAlign w:val="center"/>
          </w:tcPr>
          <w:p>
            <w:pPr>
              <w:spacing w:before="0" w:after="0" w:line="240" w:lineRule="auto"/>
              <w:jc w:val="center"/>
            </w:pPr>
            <w:r/>
            <w:r>
              <w:rPr>
                <w:rFonts w:ascii="仿宋_GB2312" w:hAnsi="仿宋_GB2312" w:eastAsia="仿宋_GB2312"/>
                <w:b w:val="0"/>
                <w:sz w:val="24"/>
              </w:rPr>
              <w:t>位置</w:t>
            </w:r>
          </w:p>
        </w:tc>
        <w:tc>
          <w:tcPr>
            <w:tcW w:type="dxa" w:w="4144"/>
            <w:tcMar>
              <w:top w:w="40" w:type="dxa"/>
              <w:bottom w:w="40" w:type="dxa"/>
              <w:left w:w="80" w:type="dxa"/>
              <w:right w:w="80" w:type="dxa"/>
            </w:tcMar>
            <w:vAlign w:val="center"/>
          </w:tcPr>
          <w:p>
            <w:pPr>
              <w:spacing w:before="0" w:after="0" w:line="240" w:lineRule="auto"/>
              <w:jc w:val="left"/>
            </w:pPr>
            <w:r/>
            <w:r>
              <w:rPr>
                <w:rFonts w:ascii="仿宋_GB2312" w:hAnsi="仿宋_GB2312" w:eastAsia="仿宋_GB2312"/>
                <w:b w:val="0"/>
                <w:sz w:val="24"/>
              </w:rPr>
              <w:t>上埇幼儿园</w:t>
            </w:r>
          </w:p>
        </w:tc>
        <w:tc>
          <w:tcPr>
            <w:tcW w:type="dxa" w:w="947"/>
            <w:tcMar>
              <w:top w:w="40" w:type="dxa"/>
              <w:bottom w:w="40" w:type="dxa"/>
              <w:left w:w="80" w:type="dxa"/>
              <w:right w:w="80" w:type="dxa"/>
            </w:tcMar>
            <w:vAlign w:val="center"/>
          </w:tcPr>
          <w:p>
            <w:pPr>
              <w:spacing w:before="0" w:after="0" w:line="240" w:lineRule="auto"/>
              <w:jc w:val="center"/>
            </w:pPr>
            <w:r/>
            <w:r>
              <w:rPr>
                <w:rFonts w:ascii="仿宋_GB2312" w:hAnsi="仿宋_GB2312" w:eastAsia="仿宋_GB2312"/>
                <w:b w:val="0"/>
                <w:sz w:val="24"/>
              </w:rPr>
              <w:t>计量</w:t>
            </w:r>
          </w:p>
          <w:p>
            <w:pPr>
              <w:spacing w:before="0" w:after="0" w:line="240" w:lineRule="auto"/>
              <w:jc w:val="center"/>
            </w:pPr>
            <w:r>
              <w:rPr>
                <w:rFonts w:ascii="仿宋_GB2312" w:hAnsi="仿宋_GB2312" w:eastAsia="仿宋_GB2312"/>
                <w:b w:val="0"/>
                <w:sz w:val="24"/>
              </w:rPr>
              <w:t>编号</w:t>
            </w:r>
          </w:p>
        </w:tc>
        <w:tc>
          <w:tcPr>
            <w:tcW w:type="dxa" w:w="3101"/>
            <w:tcMar>
              <w:top w:w="40" w:type="dxa"/>
              <w:bottom w:w="40" w:type="dxa"/>
              <w:left w:w="80" w:type="dxa"/>
              <w:right w:w="80" w:type="dxa"/>
            </w:tcMar>
            <w:vAlign w:val="center"/>
          </w:tcPr>
          <w:p>
            <w:pPr>
              <w:spacing w:before="0" w:after="0" w:line="240" w:lineRule="auto"/>
              <w:jc w:val="left"/>
            </w:pPr>
            <w:r/>
            <w:r>
              <w:rPr>
                <w:rFonts w:ascii="仿宋_GB2312" w:hAnsi="仿宋_GB2312" w:eastAsia="仿宋_GB2312"/>
                <w:b w:val="0"/>
                <w:sz w:val="24"/>
              </w:rPr>
              <w:t>006（修订）</w:t>
            </w:r>
          </w:p>
        </w:tc>
      </w:tr>
    </w:tbl>
    <w:p>
      <w:pPr>
        <w:spacing w:before="120" w:after="0" w:line="240" w:lineRule="auto"/>
      </w:pPr>
      <w:r>
        <w:rPr>
          <w:rFonts w:ascii="仿宋_GB2312" w:hAnsi="仿宋_GB2312" w:eastAsia="仿宋_GB2312"/>
          <w:b w:val="0"/>
          <w:sz w:val="24"/>
        </w:rPr>
        <w:t>事由：关于上埇幼儿园增加部分改造工程的确认事宜</w:t>
      </w:r>
    </w:p>
    <w:p>
      <w:pPr>
        <w:spacing w:before="0" w:after="80" w:line="240" w:lineRule="auto"/>
        <w:ind w:firstLine="480"/>
      </w:pPr>
      <w:r>
        <w:rPr>
          <w:rFonts w:ascii="仿宋_GB2312" w:hAnsi="仿宋_GB2312" w:eastAsia="仿宋_GB2312"/>
          <w:b w:val="0"/>
          <w:sz w:val="24"/>
        </w:rPr>
        <w:t>根据会议纪要，结合使用单位提出的若干意见做出修改，修改内容如下：</w:t>
      </w:r>
    </w:p>
    <w:p>
      <w:pPr>
        <w:spacing w:before="0" w:after="80" w:line="240" w:lineRule="auto"/>
      </w:pPr>
      <w:r>
        <w:rPr>
          <w:rFonts w:ascii="仿宋_GB2312" w:hAnsi="仿宋_GB2312" w:eastAsia="仿宋_GB2312"/>
          <w:b w:val="0"/>
          <w:sz w:val="24"/>
        </w:rPr>
        <w:t>1.拆除原大门，新增成品保安亭1座(做好防雷接地），规格为长4m、宽3m、高3.3m；（注：工作联系单一第1条为“大门右边的5-6段围墙变更为铁艺大门”，与本条内容不一致，最终实施情况需现场核实确认，暂按本条执行。）</w:t>
      </w:r>
    </w:p>
    <w:p>
      <w:pPr>
        <w:spacing w:before="0" w:after="80" w:line="240" w:lineRule="auto"/>
      </w:pPr>
      <w:r>
        <w:rPr>
          <w:rFonts w:ascii="仿宋_GB2312" w:hAnsi="仿宋_GB2312" w:eastAsia="仿宋_GB2312"/>
          <w:b w:val="0"/>
          <w:sz w:val="24"/>
        </w:rPr>
        <w:t>2.根据现场施工情况，新建筑背面即场地南侧新增镀锌管围墙长44.30m，新大门东侧挡土墙顶新增镀锌管围墙18.78m；（注：工作联系单一第2条原为“大门对面1-2-3-4段围墙共40米，变更为铝合金围墙”，经设计单位优化调整，材质变更为镀锌管围墙，长度据实调整为63.08m。）</w:t>
      </w:r>
    </w:p>
    <w:p>
      <w:pPr>
        <w:spacing w:before="0" w:after="80" w:line="240" w:lineRule="auto"/>
      </w:pPr>
      <w:r>
        <w:rPr>
          <w:rFonts w:ascii="仿宋_GB2312" w:hAnsi="仿宋_GB2312" w:eastAsia="仿宋_GB2312"/>
          <w:b w:val="0"/>
          <w:sz w:val="24"/>
        </w:rPr>
        <w:t>3.场地东侧挡土墙顶新增镀锌管围墙100.59m(据实结算，仅在原挡土墙顶安装栏杆构件）；（对应工作联系单一第3条“已建值班室至大门右边的5段围墙”，经设计单位优化调整。）</w:t>
      </w:r>
    </w:p>
    <w:p>
      <w:pPr>
        <w:spacing w:before="0" w:after="80" w:line="240" w:lineRule="auto"/>
      </w:pPr>
      <w:r>
        <w:rPr>
          <w:rFonts w:ascii="仿宋_GB2312" w:hAnsi="仿宋_GB2312" w:eastAsia="仿宋_GB2312"/>
          <w:b w:val="0"/>
          <w:sz w:val="24"/>
        </w:rPr>
        <w:t>4.原活动场EPDM面层1101.01㎡变更为悬浮式地板，悬浮地板总铺设面积为1808㎡，下部硬化面积同此）；悬浮地板调整为30cm×30cm×1.6cm，590㎡，硬化区域现调整硬化为200厚级配碎石+200厚C25混凝土，硬化优化工序：拉毛.切缝宽6mm，深5cm.填充沥青砂浆.棉毡养护；（对应工作联系单一第4条）</w:t>
      </w:r>
    </w:p>
    <w:p>
      <w:pPr>
        <w:spacing w:before="0" w:after="80" w:line="240" w:lineRule="auto"/>
      </w:pPr>
      <w:r>
        <w:rPr>
          <w:rFonts w:ascii="仿宋_GB2312" w:hAnsi="仿宋_GB2312" w:eastAsia="仿宋_GB2312"/>
          <w:b w:val="0"/>
          <w:sz w:val="24"/>
        </w:rPr>
        <w:t>5.场地西南角增设成品12m宽电动折叠门，大门外增设9.4m长DN400雨水管，端部设置800*800深1m沉沙井，井壁24墙砌筑抹灰，安装成品铸铁井盖；根据学校要求，大门位置外移，该部位原已施工完成的新建围墙18.7m（高0.45m、18墙砌筑并抹灰）现需全部拆除，已完成工程量按上述数量计列；（对应工作联系单一第5条“拆除原有大门后新建铝艺围墙，原斜坡车行区域改造为草皮绿化，新大门设于原大门右侧”，其中围墙材质经设计单位优化调整。）</w:t>
      </w:r>
    </w:p>
    <w:p>
      <w:pPr>
        <w:spacing w:before="0" w:after="80" w:line="240" w:lineRule="auto"/>
      </w:pPr>
      <w:r>
        <w:rPr>
          <w:rFonts w:ascii="仿宋_GB2312" w:hAnsi="仿宋_GB2312" w:eastAsia="仿宋_GB2312"/>
          <w:b w:val="0"/>
          <w:sz w:val="24"/>
        </w:rPr>
        <w:t>6.（注：工作联系单一第6条“教学楼后侧和左侧220平方米EPDM地板取消该工程量”，该部分已并入本单第4条活动场EPDM改悬浮地板的整体调整中，不再单列。）</w:t>
      </w:r>
    </w:p>
    <w:p>
      <w:pPr>
        <w:spacing w:before="0" w:after="80" w:line="240" w:lineRule="auto"/>
      </w:pPr>
      <w:r>
        <w:rPr>
          <w:rFonts w:ascii="仿宋_GB2312" w:hAnsi="仿宋_GB2312" w:eastAsia="仿宋_GB2312"/>
          <w:b w:val="0"/>
          <w:sz w:val="24"/>
        </w:rPr>
        <w:t>7.根据现场施工情况，新建筑背面新增挡土墙18m，墙顶相对标高为0.46～1.8m；拆除旧挡土墙长65m总245m³；新建3.5m高挡土墙长40m；新建2m高挡土墙总长24m。3.5m高、2.0m高挡土墙做法分别参照图集17J008-211P-FJDB相应做法；（对应工作联系单一第7、8条挡土墙延长及拆除重建内容，具体延长米数以现场施工资料据实结算为准。）</w:t>
      </w:r>
    </w:p>
    <w:p>
      <w:pPr>
        <w:spacing w:before="0" w:after="80" w:line="240" w:lineRule="auto"/>
      </w:pPr>
      <w:r>
        <w:rPr>
          <w:rFonts w:ascii="仿宋_GB2312" w:hAnsi="仿宋_GB2312" w:eastAsia="仿宋_GB2312"/>
          <w:b w:val="0"/>
          <w:sz w:val="24"/>
        </w:rPr>
        <w:t>8.由于现场将化粪池埋置在场地西北角，致DN200污水管总长度变更为108.67m，污水检查井总数变更为8个。（对应工作联系单二第1条）</w:t>
      </w:r>
    </w:p>
    <w:p>
      <w:pPr>
        <w:spacing w:before="0" w:after="80" w:line="240" w:lineRule="auto"/>
      </w:pPr>
      <w:r>
        <w:rPr>
          <w:rFonts w:ascii="仿宋_GB2312" w:hAnsi="仿宋_GB2312" w:eastAsia="仿宋_GB2312"/>
          <w:b w:val="0"/>
          <w:sz w:val="24"/>
        </w:rPr>
        <w:t>9.原大门口整片黄锈石铺装取消1633.9㎡，下部仅做现浇硬化面积951㎡，硬化区域现调整硬化为200厚级配碎石+200厚C25混凝土（拉毛。切缝宽6mm，深5cm.填充沥青砂浆.棉毡养护）。（对应工作联系单二第2条）</w:t>
      </w:r>
    </w:p>
    <w:p>
      <w:pPr>
        <w:spacing w:before="0" w:after="80" w:line="240" w:lineRule="auto"/>
      </w:pPr>
      <w:r>
        <w:rPr>
          <w:rFonts w:ascii="仿宋_GB2312" w:hAnsi="仿宋_GB2312" w:eastAsia="仿宋_GB2312"/>
          <w:b w:val="0"/>
          <w:sz w:val="24"/>
        </w:rPr>
        <w:t>10.由于市政接入点改变，原主电缆YJV22-4X35/SC50/FC线路总长度28.65m变更为114.45m，并增设一个手孔井做法不变。（对应工作联系单二第3条）</w:t>
      </w:r>
    </w:p>
    <w:p>
      <w:pPr>
        <w:spacing w:before="0" w:after="80" w:line="240" w:lineRule="auto"/>
      </w:pPr>
      <w:r>
        <w:rPr>
          <w:rFonts w:ascii="仿宋_GB2312" w:hAnsi="仿宋_GB2312" w:eastAsia="仿宋_GB2312"/>
          <w:b w:val="0"/>
          <w:sz w:val="24"/>
        </w:rPr>
        <w:t>11.场地中央原沙池变更为戏水池，尺寸不变。（对应工作联系单二第4条）</w:t>
      </w:r>
    </w:p>
    <w:p>
      <w:pPr>
        <w:spacing w:before="0" w:after="80" w:line="240" w:lineRule="auto"/>
      </w:pPr>
      <w:r>
        <w:rPr>
          <w:rFonts w:ascii="仿宋_GB2312" w:hAnsi="仿宋_GB2312" w:eastAsia="仿宋_GB2312"/>
          <w:b w:val="0"/>
          <w:sz w:val="24"/>
        </w:rPr>
        <w:t>12.大门坡底截水沟总长度变更为28m；东侧挡土墙底部新增排水沟37m，砼制水沟盖板500*400*55厚；东侧挡土墙底新增100厚C25混凝土硬化17.48㎡。（对应工作联系单二第5条）</w:t>
      </w:r>
    </w:p>
    <w:p>
      <w:pPr>
        <w:spacing w:before="0" w:after="80" w:line="240" w:lineRule="auto"/>
      </w:pPr>
      <w:r>
        <w:rPr>
          <w:rFonts w:ascii="仿宋_GB2312" w:hAnsi="仿宋_GB2312" w:eastAsia="仿宋_GB2312"/>
          <w:b w:val="0"/>
          <w:sz w:val="24"/>
        </w:rPr>
        <w:t>13.拆除大门前停车场损坏的彩砖，并新建彩砖：规格为400*400*50厚，总面积47㎡。（对应工作联系单二第6条）</w:t>
      </w:r>
    </w:p>
    <w:p>
      <w:pPr>
        <w:spacing w:before="0" w:after="80" w:line="240" w:lineRule="auto"/>
      </w:pPr>
      <w:r>
        <w:rPr>
          <w:rFonts w:ascii="仿宋_GB2312" w:hAnsi="仿宋_GB2312" w:eastAsia="仿宋_GB2312"/>
          <w:b w:val="0"/>
          <w:sz w:val="24"/>
        </w:rPr>
        <w:t>14.根据使用单位要求新购置录像机、POE交换机各1台。（对应工作联系单二第7条）</w:t>
      </w:r>
    </w:p>
    <w:p>
      <w:pPr>
        <w:spacing w:before="0" w:after="80" w:line="240" w:lineRule="auto"/>
      </w:pPr>
      <w:r>
        <w:rPr>
          <w:rFonts w:ascii="仿宋_GB2312" w:hAnsi="仿宋_GB2312" w:eastAsia="仿宋_GB2312"/>
          <w:b w:val="0"/>
          <w:sz w:val="24"/>
        </w:rPr>
        <w:t>15.根据现场实际施工情况取消场地中央挡土墙二外立面的火山岩装饰层133.45㎡；取消沙水区的遮阳棚75㎡。（对应工作联系单二第8条）</w:t>
      </w:r>
    </w:p>
    <w:p>
      <w:pPr>
        <w:spacing w:before="0" w:after="80" w:line="240" w:lineRule="auto"/>
      </w:pPr>
      <w:r>
        <w:rPr>
          <w:rFonts w:ascii="仿宋_GB2312" w:hAnsi="仿宋_GB2312" w:eastAsia="仿宋_GB2312"/>
          <w:b w:val="0"/>
          <w:sz w:val="24"/>
        </w:rPr>
        <w:t>16.根据现场实际施工情况，将场地中间挡土墙顶的玻璃栏杆护栏做法由236.85m变更为不锈钢栏杆扶手护栏220m。做法参照东升学校场地中间坡道挡土墙两侧不锈钢护栏做法。（对应工作联系单二第9条）</w:t>
      </w:r>
    </w:p>
    <w:p>
      <w:pPr>
        <w:spacing w:before="120" w:after="160" w:line="240" w:lineRule="auto"/>
      </w:pPr>
      <w:r>
        <w:rPr>
          <w:rFonts w:ascii="仿宋_GB2312" w:hAnsi="仿宋_GB2312" w:eastAsia="仿宋_GB2312"/>
          <w:b w:val="0"/>
          <w:sz w:val="24"/>
        </w:rPr>
        <w:t>以上变更工程量详见后附计算表。</w:t>
      </w:r>
    </w:p>
    <w:tbl>
      <w:tblPr>
        <w:tblStyle w:val="TableGrid"/>
        <w:tblW w:type="auto" w:w="0"/>
        <w:jc w:val="center"/>
        <w:tblLayout w:type="fixed"/>
        <w:tblLook w:firstColumn="1" w:firstRow="1" w:lastColumn="0" w:lastRow="0" w:noHBand="0" w:noVBand="1" w:val="04A0"/>
      </w:tblPr>
      <w:tblGrid>
        <w:gridCol w:w="2538"/>
        <w:gridCol w:w="2538"/>
        <w:gridCol w:w="2538"/>
        <w:gridCol w:w="2538"/>
      </w:tblGrid>
      <w:tr>
        <w:trPr>
          <w:trHeight w:val="2449" w:hRule="atLeast"/>
        </w:trPr>
        <w:tc>
          <w:tcPr>
            <w:tcW w:type="dxa" w:w="2375"/>
            <w:tcMar>
              <w:top w:w="40" w:type="dxa"/>
              <w:bottom w:w="40" w:type="dxa"/>
              <w:left w:w="80" w:type="dxa"/>
              <w:right w:w="80" w:type="dxa"/>
            </w:tcMar>
            <w:vAlign w:val="top"/>
          </w:tcPr>
          <w:p>
            <w:pPr>
              <w:spacing w:before="0" w:after="0" w:line="240" w:lineRule="auto"/>
              <w:jc w:val="left"/>
            </w:pPr>
            <w:r/>
            <w:r>
              <w:rPr>
                <w:rFonts w:ascii="仿宋_GB2312" w:hAnsi="仿宋_GB2312" w:eastAsia="仿宋_GB2312"/>
                <w:b w:val="0"/>
                <w:sz w:val="24"/>
              </w:rPr>
              <w:t>建设单位意见：</w:t>
            </w:r>
          </w:p>
        </w:tc>
        <w:tc>
          <w:tcPr>
            <w:tcW w:type="dxa" w:w="2381"/>
            <w:tcMar>
              <w:top w:w="40" w:type="dxa"/>
              <w:bottom w:w="40" w:type="dxa"/>
              <w:left w:w="80" w:type="dxa"/>
              <w:right w:w="80" w:type="dxa"/>
            </w:tcMar>
            <w:vAlign w:val="top"/>
          </w:tcPr>
          <w:p>
            <w:pPr>
              <w:spacing w:before="0" w:after="0" w:line="240" w:lineRule="auto"/>
              <w:jc w:val="left"/>
            </w:pPr>
            <w:r/>
            <w:r>
              <w:rPr>
                <w:rFonts w:ascii="仿宋_GB2312" w:hAnsi="仿宋_GB2312" w:eastAsia="仿宋_GB2312"/>
                <w:b w:val="0"/>
                <w:sz w:val="24"/>
              </w:rPr>
              <w:t>代管单位意见：</w:t>
            </w:r>
          </w:p>
        </w:tc>
        <w:tc>
          <w:tcPr>
            <w:tcW w:type="dxa" w:w="2534"/>
            <w:tcMar>
              <w:top w:w="40" w:type="dxa"/>
              <w:bottom w:w="40" w:type="dxa"/>
              <w:left w:w="80" w:type="dxa"/>
              <w:right w:w="80" w:type="dxa"/>
            </w:tcMar>
            <w:vAlign w:val="top"/>
          </w:tcPr>
          <w:p>
            <w:pPr>
              <w:spacing w:before="0" w:after="0" w:line="240" w:lineRule="auto"/>
              <w:jc w:val="left"/>
            </w:pPr>
            <w:r/>
            <w:r>
              <w:rPr>
                <w:rFonts w:ascii="仿宋_GB2312" w:hAnsi="仿宋_GB2312" w:eastAsia="仿宋_GB2312"/>
                <w:b w:val="0"/>
                <w:sz w:val="24"/>
              </w:rPr>
              <w:t>监理单位意见：</w:t>
            </w:r>
          </w:p>
        </w:tc>
        <w:tc>
          <w:tcPr>
            <w:tcW w:type="dxa" w:w="2540"/>
            <w:tcMar>
              <w:top w:w="40" w:type="dxa"/>
              <w:bottom w:w="40" w:type="dxa"/>
              <w:left w:w="80" w:type="dxa"/>
              <w:right w:w="80" w:type="dxa"/>
            </w:tcMar>
            <w:vAlign w:val="top"/>
          </w:tcPr>
          <w:p>
            <w:pPr>
              <w:spacing w:before="0" w:after="0" w:line="240" w:lineRule="auto"/>
              <w:jc w:val="left"/>
            </w:pPr>
            <w:r/>
            <w:r>
              <w:rPr>
                <w:rFonts w:ascii="仿宋_GB2312" w:hAnsi="仿宋_GB2312" w:eastAsia="仿宋_GB2312"/>
                <w:b w:val="0"/>
                <w:sz w:val="24"/>
              </w:rPr>
              <w:t>施工单位意见：</w:t>
            </w:r>
          </w:p>
        </w:tc>
      </w:tr>
    </w:tbl>
    <w:sectPr w:rsidR="00FC693F" w:rsidRPr="0006063C" w:rsidSect="00034616">
      <w:pgSz w:w="12240" w:h="15840"/>
      <w:pgMar w:top="907" w:right="1043" w:bottom="907" w:left="104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