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黑体" w:hAnsi="黑体" w:eastAsia="黑体"/>
          <w:b/>
          <w:sz w:val="44"/>
        </w:rPr>
        <w:t>关于7所幼儿园室外配套附属设施</w:t>
      </w:r>
    </w:p>
    <w:p>
      <w:pPr>
        <w:spacing w:after="360"/>
        <w:jc w:val="center"/>
      </w:pPr>
      <w:r>
        <w:rPr>
          <w:rFonts w:ascii="黑体" w:hAnsi="黑体" w:eastAsia="黑体"/>
          <w:b/>
          <w:sz w:val="40"/>
        </w:rPr>
        <w:t>建设工程施工合同基本情况的说明</w:t>
      </w:r>
    </w:p>
    <w:p>
      <w:pPr>
        <w:spacing w:after="120" w:line="360" w:lineRule="auto"/>
        <w:ind w:firstLine="420"/>
      </w:pPr>
      <w:r>
        <w:rPr>
          <w:rFonts w:ascii="仿宋_GB2312" w:hAnsi="仿宋_GB2312" w:eastAsia="仿宋_GB2312"/>
          <w:b w:val="0"/>
          <w:sz w:val="28"/>
        </w:rPr>
        <w:t>为便于领导掌握相关工程施工合同的基本情况，现将合同名称、合同双方、合同价格等主要信息说明如下：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一、项目基本情况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合同编号</w:t>
            </w:r>
          </w:p>
        </w:tc>
        <w:tc>
          <w:tcPr>
            <w:tcW w:type="dxa" w:w="4422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QHCT(FW)2024-192号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项目（合同）名称</w:t>
            </w:r>
          </w:p>
        </w:tc>
        <w:tc>
          <w:tcPr>
            <w:tcW w:type="dxa" w:w="4422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东升、东红、千秋、东平、南俸、上埇和机关等7所幼儿园室外配套附属设施建设工程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工程地点</w:t>
            </w:r>
          </w:p>
        </w:tc>
        <w:tc>
          <w:tcPr>
            <w:tcW w:type="dxa" w:w="4422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琼海市嘉积镇、万泉镇、塔洋镇、大路镇、会山镇及石壁镇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资金来源</w:t>
            </w:r>
          </w:p>
        </w:tc>
        <w:tc>
          <w:tcPr>
            <w:tcW w:type="dxa" w:w="4422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市级财政资金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计划工期</w:t>
            </w:r>
          </w:p>
        </w:tc>
        <w:tc>
          <w:tcPr>
            <w:tcW w:type="dxa" w:w="4422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180个日历天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签订地点</w:t>
            </w:r>
          </w:p>
        </w:tc>
        <w:tc>
          <w:tcPr>
            <w:tcW w:type="dxa" w:w="4422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海南省琼海市</w:t>
            </w:r>
          </w:p>
        </w:tc>
      </w:tr>
    </w:tbl>
    <w:p/>
    <w:p>
      <w:pPr>
        <w:spacing w:before="240" w:after="120"/>
      </w:pPr>
      <w:r>
        <w:rPr>
          <w:rFonts w:ascii="黑体" w:hAnsi="黑体" w:eastAsia="黑体"/>
          <w:b/>
          <w:sz w:val="30"/>
        </w:rPr>
        <w:t>二、合同双方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发包人（业主）</w:t>
            </w:r>
          </w:p>
        </w:tc>
        <w:tc>
          <w:tcPr>
            <w:tcW w:type="dxa" w:w="4422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琼海市城市投资运营有限公司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发包人地址</w:t>
            </w:r>
          </w:p>
        </w:tc>
        <w:tc>
          <w:tcPr>
            <w:tcW w:type="dxa" w:w="4422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琼海市嘉积镇爱华东路19号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发包人信用代码</w:t>
            </w:r>
          </w:p>
        </w:tc>
        <w:tc>
          <w:tcPr>
            <w:tcW w:type="dxa" w:w="4422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91469002747790848Q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承包人（施工单位）</w:t>
            </w:r>
          </w:p>
        </w:tc>
        <w:tc>
          <w:tcPr>
            <w:tcW w:type="dxa" w:w="4422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陕西宏基源建设有限公司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承包人地址</w:t>
            </w:r>
          </w:p>
        </w:tc>
        <w:tc>
          <w:tcPr>
            <w:tcW w:type="dxa" w:w="4422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西安市文艺北路5号敬业大厦1302室—1307室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承包人信用代码</w:t>
            </w:r>
          </w:p>
        </w:tc>
        <w:tc>
          <w:tcPr>
            <w:tcW w:type="dxa" w:w="4422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91610000741282199A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承包人项目经理</w:t>
            </w:r>
          </w:p>
        </w:tc>
        <w:tc>
          <w:tcPr>
            <w:tcW w:type="dxa" w:w="4422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樊俊飞（注册证号：陕1612022202302782）</w:t>
            </w:r>
          </w:p>
        </w:tc>
      </w:tr>
    </w:tbl>
    <w:p/>
    <w:p>
      <w:pPr>
        <w:spacing w:before="240" w:after="120"/>
      </w:pPr>
      <w:r>
        <w:rPr>
          <w:rFonts w:ascii="黑体" w:hAnsi="黑体" w:eastAsia="黑体"/>
          <w:b/>
          <w:sz w:val="30"/>
        </w:rPr>
        <w:t>三、合同价格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签约合同价（含税）</w:t>
            </w:r>
          </w:p>
        </w:tc>
        <w:tc>
          <w:tcPr>
            <w:tcW w:type="dxa" w:w="4422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人民币 11,444,630.26 元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 xml:space="preserve">　　其中：不含税价</w:t>
            </w:r>
          </w:p>
        </w:tc>
        <w:tc>
          <w:tcPr>
            <w:tcW w:type="dxa" w:w="4422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人民币 10,499,660.79 元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 xml:space="preserve">　　其中：增值税额（税率9%）</w:t>
            </w:r>
          </w:p>
        </w:tc>
        <w:tc>
          <w:tcPr>
            <w:tcW w:type="dxa" w:w="4422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人民币 944,969.47 元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合同价格形式</w:t>
            </w:r>
          </w:p>
        </w:tc>
        <w:tc>
          <w:tcPr>
            <w:tcW w:type="dxa" w:w="4422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固定单价合同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下浮率</w:t>
            </w:r>
          </w:p>
        </w:tc>
        <w:tc>
          <w:tcPr>
            <w:tcW w:type="dxa" w:w="4422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4.27%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安全文明施工费</w:t>
            </w:r>
          </w:p>
        </w:tc>
        <w:tc>
          <w:tcPr>
            <w:tcW w:type="dxa" w:w="4422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人民币 429,538.91 元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专业工程暂估价</w:t>
            </w:r>
          </w:p>
        </w:tc>
        <w:tc>
          <w:tcPr>
            <w:tcW w:type="dxa" w:w="4422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人民币 200,537.43 元</w:t>
            </w:r>
          </w:p>
        </w:tc>
      </w:tr>
    </w:tbl>
    <w:p/>
    <w:p>
      <w:pPr>
        <w:spacing w:before="240" w:after="120"/>
      </w:pPr>
      <w:r>
        <w:rPr>
          <w:rFonts w:ascii="黑体" w:hAnsi="黑体" w:eastAsia="黑体"/>
          <w:b/>
          <w:sz w:val="30"/>
        </w:rPr>
        <w:t>四、备注</w:t>
      </w:r>
    </w:p>
    <w:p>
      <w:pPr>
        <w:spacing w:after="120" w:line="360" w:lineRule="auto"/>
      </w:pPr>
      <w:r>
        <w:rPr>
          <w:rFonts w:ascii="仿宋_GB2312" w:hAnsi="仿宋_GB2312" w:eastAsia="仿宋_GB2312"/>
          <w:b w:val="0"/>
          <w:sz w:val="24"/>
        </w:rPr>
        <w:t>1. 以上信息摘录自《建设工程施工合同》（合同编号：QHCT(FW)2024-192号）第一部分“合同协议书”，最终结算合同价以工程竣工验收结算审核结果为准。</w:t>
      </w:r>
    </w:p>
    <w:p>
      <w:pPr>
        <w:spacing w:after="120" w:line="360" w:lineRule="auto"/>
      </w:pPr>
      <w:r>
        <w:rPr>
          <w:rFonts w:ascii="仿宋_GB2312" w:hAnsi="仿宋_GB2312" w:eastAsia="仿宋_GB2312"/>
          <w:b w:val="0"/>
          <w:sz w:val="24"/>
        </w:rPr>
        <w:t>2. 如需查阅合同全文或相关附件（招标文件、投标文件、图纸等），请与项目经办人联系。</w:t>
      </w:r>
    </w:p>
    <w:p/>
    <w:p/>
    <w:p>
      <w:pPr>
        <w:jc w:val="right"/>
      </w:pPr>
      <w:r>
        <w:rPr>
          <w:rFonts w:ascii="仿宋_GB2312" w:hAnsi="仿宋_GB2312" w:eastAsia="仿宋_GB2312"/>
          <w:b w:val="0"/>
          <w:sz w:val="28"/>
        </w:rPr>
        <w:t>汇报人：____________</w:t>
      </w:r>
    </w:p>
    <w:p>
      <w:pPr>
        <w:jc w:val="right"/>
      </w:pPr>
      <w:r>
        <w:rPr>
          <w:rFonts w:ascii="仿宋_GB2312" w:hAnsi="仿宋_GB2312" w:eastAsia="仿宋_GB2312"/>
          <w:b w:val="0"/>
          <w:sz w:val="28"/>
        </w:rPr>
        <w:t>日 期：2026年7月3日</w:t>
      </w:r>
    </w:p>
    <w:sectPr w:rsidR="00FC693F" w:rsidRPr="0006063C" w:rsidSect="00034616">
      <w:pgSz w:w="11906" w:h="16838"/>
      <w:pgMar w:top="1474" w:right="1474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_GB2312" w:hAnsi="仿宋_GB2312" w:eastAsia="仿宋_GB2312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