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12, 2021   |   From: Sam Becker,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Josefina Silverthorne, MD, Ember Lake Medical Group, Des Moines, IA (AR)</w:t>
      </w:r>
    </w:p>
    <w:p>
      <w:r>
        <w:rPr>
          <w:sz w:val="21"/>
        </w:rPr>
        <w:t>&gt; Onboarding a front-desk coordinator is current preoccupation here.</w:t>
      </w:r>
    </w:p>
    <w:p>
      <w:r>
        <w:rPr>
          <w:sz w:val="21"/>
        </w:rPr>
        <w:t>&gt; Talked through pediatric-to-adult transfers in general terms, without any specific case.</w:t>
      </w:r>
    </w:p>
    <w:p>
      <w:r>
        <w:rPr>
          <w:sz w:val="21"/>
        </w:rPr>
        <w:t>&gt; Nothing actionable this visit this time. Asked about safety and confirmed nothing to report.</w:t>
      </w:r>
    </w:p>
    <w:p>
      <w:r>
        <w:rPr>
          <w:sz w:val="21"/>
        </w:rPr>
        <w:t>&gt; The practice lost one of the nurse practitioners and has not backfilled, so the new-pt backlog has stretched out.</w:t>
      </w:r>
    </w:p>
    <w:p>
      <w:r>
        <w:rPr>
          <w:sz w:val="21"/>
        </w:rPr>
      </w:r>
    </w:p>
    <w:p>
      <w:r>
        <w:rPr>
          <w:b/>
          <w:sz w:val="21"/>
        </w:rPr>
        <w:t>Gemma Norrington, MD, Foxglove Health Neurology, Portland, ME (RSM)</w:t>
      </w:r>
    </w:p>
    <w:p>
      <w:r>
        <w:rPr>
          <w:sz w:val="21"/>
        </w:rPr>
        <w:t>&gt; Caught a rushed window in reading room between patients.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Spent some time on refractory group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Pallavi Wainwright, MD, Bluestem Comprehensive Epilepsy Clinic, Savannah, GA (RSM)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Noted that formulary questions remains teh slowest step and that this is not specific to any one product.</w:t>
      </w:r>
    </w:p>
    <w:p>
      <w:r>
        <w:rPr>
          <w:sz w:val="21"/>
        </w:rPr>
        <w:t>&gt; Clinic throughput looks better than last year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Tadeo Eastmond, MD, Sable Creek Medical Group, Provo, UT (RSM)</w:t>
      </w:r>
    </w:p>
    <w:p>
      <w:r>
        <w:rPr>
          <w:sz w:val="21"/>
        </w:rPr>
        <w:t>&gt; Stopped by outside the EEG suite for clipped convo.</w:t>
      </w:r>
    </w:p>
    <w:p>
      <w:r>
        <w:rPr>
          <w:sz w:val="21"/>
        </w:rPr>
        <w:t>&gt; The practice lost the epilepsy fellow and has not backfilled, so routine f/u slots is slowly recovering.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A compressed conversation in the corridor, mostly logistics.</w:t>
      </w:r>
    </w:p>
    <w:p>
      <w:r>
        <w:rPr>
          <w:sz w:val="21"/>
        </w:rPr>
        <w:t>&gt; Nothing that needed f/u. Safety items asked about and confirmed none.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  <w:t>&gt; Talked through older half of panel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Saoirse Norrington, MD, Lakeshore Neurological Care Center, Akron, OH (AR)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Referenced guideline update discussed at journal club in passing.</w:t>
      </w:r>
    </w:p>
    <w:p>
      <w:r>
        <w:rPr>
          <w:sz w:val="21"/>
        </w:rPr>
        <w:t>&gt; Most of the discussion was about the patient portal, which has not settled.</w:t>
      </w:r>
    </w:p>
    <w:p>
      <w:r>
        <w:rPr>
          <w:sz w:val="21"/>
        </w:rPr>
      </w:r>
    </w:p>
    <w:p>
      <w:r>
        <w:rPr>
          <w:b/>
          <w:sz w:val="21"/>
        </w:rPr>
        <w:t>Gaspar Nashwood, MD, Copperfield Neurology Institute, Omaha, NE (RSM)</w:t>
      </w:r>
    </w:p>
    <w:p>
      <w:r>
        <w:rPr>
          <w:sz w:val="21"/>
        </w:rPr>
        <w:t>&gt; A rushed conversation in the shared office, mostly logistics.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The practice lost two medical assistants and has not backfilled, so clinic throughput looks better than last year.</w:t>
      </w:r>
    </w:p>
    <w:p>
      <w:r>
        <w:rPr>
          <w:sz w:val="21"/>
        </w:rPr>
        <w:t>&gt; Noted that appeals process takes longer than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Camila Dunmore, MD, Ironwood Neurology Associates, Lexington, KY (RSM)</w:t>
      </w:r>
    </w:p>
    <w:p>
      <w:r>
        <w:rPr>
          <w:sz w:val="21"/>
        </w:rPr>
        <w:t>&gt; Referral patterns into this clinic have changed, and the older half of the panel is bigger share than it was.</w:t>
      </w:r>
    </w:p>
    <w:p>
      <w:r>
        <w:rPr>
          <w:sz w:val="21"/>
        </w:rPr>
        <w:t>&gt; The phone triage line is being piloted this quarter, and that took up the first part of the conversation.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Onboarding two medical assistants is current preoccupation here.</w:t>
      </w:r>
    </w:p>
    <w:p>
      <w:r>
        <w:rPr>
          <w:sz w:val="21"/>
        </w:rPr>
        <w:t>&gt; Agreed to reconnect at a follow-up appointment; no specific request.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