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October 11, 2021   |   MSL: Ingrid Halvorsen</w:t>
      </w:r>
    </w:p>
    <w:p>
      <w:r>
        <w:rPr>
          <w:b/>
          <w:sz w:val="21"/>
        </w:rPr>
        <w:t>HCP: Viraj Corliss, MD, Lakeshore Neurological Care Center, Lexington, KY (AR)</w:t>
      </w:r>
    </w:p>
    <w:p>
      <w:r>
        <w:rPr>
          <w:sz w:val="21"/>
        </w:rPr>
      </w:r>
    </w:p>
    <w:p>
      <w:r>
        <w:rPr>
          <w:sz w:val="21"/>
        </w:rPr>
        <w:t>Benefit verification is the step that most often delays a start here.</w:t>
      </w:r>
    </w:p>
    <w:p>
      <w:r>
        <w:rPr>
          <w:sz w:val="21"/>
        </w:rPr>
      </w:r>
    </w:p>
    <w:p>
      <w:r>
        <w:rPr>
          <w:sz w:val="21"/>
        </w:rPr>
        <w:t>Asked whether I would be at the meeting later this year.</w:t>
      </w:r>
    </w:p>
    <w:p>
      <w:r>
        <w:rPr>
          <w:sz w:val="21"/>
        </w:rPr>
      </w:r>
    </w:p>
    <w:p>
      <w:r>
        <w:rPr>
          <w:sz w:val="21"/>
        </w:rPr>
        <w:t>Monitoring intervals during titration are set by clinic routine here rather than by protocol.</w:t>
      </w:r>
    </w:p>
    <w:p>
      <w:r>
        <w:rPr>
          <w:sz w:val="21"/>
        </w:rPr>
      </w:r>
    </w:p>
    <w:p>
      <w:r>
        <w:rPr>
          <w:sz w:val="21"/>
        </w:rPr>
        <w:t>Asked whether I had seen a review that circulated on the service; I had not, and offered nothing in return.</w:t>
      </w:r>
    </w:p>
    <w:p>
      <w:r>
        <w:rPr>
          <w:sz w:val="21"/>
        </w:rPr>
      </w:r>
    </w:p>
    <w:p>
      <w:r>
        <w:rPr>
          <w:sz w:val="21"/>
        </w:rPr>
        <w:t>Routine follow-up slots looks better than last year since the summer, which shapes how much time there is for anything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