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[SYNTHETIC SAMPLE] Fictional record generated for the DELPHi prototype demo. Names, institutions, and statements are invented; the layout imitates a generic field-medical format. Not a real document and not derived from any real record.</w:t>
      </w:r>
    </w:p>
    <w:p>
      <w:r>
        <w:rPr>
          <w:sz w:val="21"/>
        </w:rPr>
      </w:r>
    </w:p>
    <w:p>
      <w:r>
        <w:rPr>
          <w:b/>
          <w:sz w:val="21"/>
        </w:rPr>
        <w:t>Field Medical Highlights — XCOPRI (cenobamate)</w:t>
      </w:r>
    </w:p>
    <w:p>
      <w:r>
        <w:rPr>
          <w:sz w:val="21"/>
        </w:rPr>
        <w:t>Date: October 13, 2021   |   From: Ingrid Halvorsen, Dana Cho</w:t>
      </w:r>
    </w:p>
    <w:p>
      <w:r>
        <w:rPr>
          <w:sz w:val="21"/>
        </w:rPr>
      </w:r>
    </w:p>
    <w:p>
      <w:r>
        <w:rPr>
          <w:b/>
          <w:sz w:val="21"/>
        </w:rPr>
        <w:t>FIELD MEDICAL INSIGHTS</w:t>
      </w:r>
    </w:p>
    <w:p>
      <w:r>
        <w:rPr>
          <w:sz w:val="21"/>
        </w:rPr>
      </w:r>
    </w:p>
    <w:p>
      <w:r>
        <w:rPr>
          <w:b/>
          <w:sz w:val="21"/>
        </w:rPr>
        <w:t>Fabian Marchetti, MD, Northbrook Neurology Institute, Albany, NY (AR)</w:t>
      </w:r>
    </w:p>
    <w:p>
      <w:r>
        <w:rPr>
          <w:sz w:val="21"/>
        </w:rPr>
        <w:t>&gt; Noted that coverage paperwork has improved somewhat and that this is not specific to any one product.</w:t>
      </w:r>
    </w:p>
    <w:p>
      <w:r>
        <w:rPr>
          <w:sz w:val="21"/>
        </w:rPr>
        <w:t>&gt; Onboarding two medical assistants is the current preoccupation here.</w:t>
      </w:r>
    </w:p>
    <w:p>
      <w:r>
        <w:rPr>
          <w:sz w:val="21"/>
        </w:rPr>
        <w:t>&gt; Mostly small talk about the program and the venue.</w:t>
      </w:r>
    </w:p>
    <w:p>
      <w:r>
        <w:rPr>
          <w:sz w:val="21"/>
        </w:rPr>
      </w:r>
    </w:p>
    <w:p>
      <w:r>
        <w:rPr>
          <w:b/>
          <w:sz w:val="21"/>
        </w:rPr>
        <w:t>Arvind Calderwood, MD, Sandhill Neuroscience Center, Shreveport, LA (RSM)</w:t>
      </w:r>
    </w:p>
    <w:p>
      <w:r>
        <w:rPr>
          <w:sz w:val="21"/>
        </w:rPr>
        <w:t>&gt; Described how the refractory group is triaged now compared with before.</w:t>
      </w:r>
    </w:p>
    <w:p>
      <w:r>
        <w:rPr>
          <w:sz w:val="21"/>
        </w:rPr>
        <w:t>&gt; Formulary placement was the only product-adjacent topic, and only in general terms.</w:t>
      </w:r>
    </w:p>
    <w:p>
      <w:r>
        <w:rPr>
          <w:sz w:val="21"/>
        </w:rPr>
        <w:t>&gt; Titration habits came up in general terms; no specifics were discussed and none were offered.</w:t>
      </w:r>
    </w:p>
    <w:p>
      <w:r>
        <w:rPr>
          <w:sz w:val="21"/>
        </w:rPr>
      </w:r>
    </w:p>
    <w:p>
      <w:r>
        <w:rPr>
          <w:b/>
          <w:sz w:val="21"/>
        </w:rPr>
        <w:t>Imani Lindenmuth, MD, Sable Creek Medical Group, Lexington, KY (RSM)</w:t>
      </w:r>
    </w:p>
    <w:p>
      <w:r>
        <w:rPr>
          <w:sz w:val="21"/>
        </w:rPr>
        <w:t>&gt; The referral intake process went live without much warning, and that took up the first part of the conversation.</w:t>
      </w:r>
    </w:p>
    <w:p>
      <w:r>
        <w:rPr>
          <w:sz w:val="21"/>
        </w:rPr>
        <w:t>&gt; The composition of newly referred patients has shifted over the last year or two.</w:t>
      </w:r>
    </w:p>
    <w:p>
      <w:r>
        <w:rPr>
          <w:sz w:val="21"/>
        </w:rPr>
        <w:t>&gt; Titration habits came up in general terms; no specifics were discussed and none were offered.</w:t>
      </w:r>
    </w:p>
    <w:p>
      <w:r>
        <w:rPr>
          <w:sz w:val="21"/>
        </w:rPr>
        <w:t>&gt; Described the practice as early in its experience here, with nothing to report yet.</w:t>
      </w:r>
    </w:p>
    <w:p>
      <w:r>
        <w:rPr>
          <w:sz w:val="21"/>
        </w:rPr>
      </w:r>
    </w:p>
    <w:p>
      <w:r>
        <w:rPr>
          <w:b/>
          <w:sz w:val="21"/>
        </w:rPr>
        <w:t>Sonali Wycliffe, MD, Windrow Neuroscience Center, Eugene, OR (RSM)</w:t>
      </w:r>
    </w:p>
    <w:p>
      <w:r>
        <w:rPr>
          <w:sz w:val="21"/>
        </w:rPr>
        <w:t>&gt; Compared notes on which sessions were worth the time.</w:t>
      </w:r>
    </w:p>
    <w:p>
      <w:r>
        <w:rPr>
          <w:sz w:val="21"/>
        </w:rPr>
        <w:t>&gt; Routine follow-up slots keeps slipping since the summer, which shapes how much time there is for anything else.</w:t>
      </w:r>
    </w:p>
    <w:p>
      <w:r>
        <w:rPr>
          <w:sz w:val="21"/>
        </w:rPr>
        <w:t>&gt; This practice is still building familiarity with the product and had no clinical points to raise.</w:t>
      </w:r>
    </w:p>
    <w:p>
      <w:r>
        <w:rPr>
          <w:sz w:val="21"/>
        </w:rPr>
      </w:r>
    </w:p>
    <w:p>
      <w:r>
        <w:rPr>
          <w:b/>
          <w:sz w:val="21"/>
        </w:rPr>
        <w:t>Dagmar Lindenmuth, MD, Alder Point Neurology Associates, Charleston, SC (AR)</w:t>
      </w:r>
    </w:p>
    <w:p>
      <w:r>
        <w:rPr>
          <w:sz w:val="21"/>
        </w:rPr>
        <w:t>&gt; The new charting templates is being piloted this quarter, and that took up the first part of the conversation.</w:t>
      </w:r>
    </w:p>
    <w:p>
      <w:r>
        <w:rPr>
          <w:sz w:val="21"/>
        </w:rPr>
        <w:t>&gt; Described the practice as early in its experience here, with nothing to report yet.</w:t>
      </w:r>
    </w:p>
    <w:p>
      <w:r>
        <w:rPr>
          <w:sz w:val="21"/>
        </w:rPr>
        <w:t>&gt; Mentioned a review that circulated on the service but did not raise any specific finding.</w:t>
      </w:r>
    </w:p>
    <w:p>
      <w:r>
        <w:rPr>
          <w:sz w:val="21"/>
        </w:rPr>
        <w:t>&gt; The travel schedule this year came up, and little else.</w:t>
      </w:r>
    </w:p>
    <w:p>
      <w:r>
        <w:rPr>
          <w:sz w:val="21"/>
        </w:rPr>
      </w:r>
    </w:p>
    <w:p>
      <w:r>
        <w:rPr>
          <w:b/>
          <w:sz w:val="21"/>
        </w:rPr>
        <w:t>Eamon Hollingsworth, MD, Silver Creek Medical Group, Fort Collins, CO (RSM)</w:t>
      </w:r>
    </w:p>
    <w:p>
      <w:r>
        <w:rPr>
          <w:sz w:val="21"/>
        </w:rPr>
        <w:t>&gt; Benefit verification is the step that most often delays a start here.</w:t>
      </w:r>
    </w:p>
    <w:p>
      <w:r>
        <w:rPr>
          <w:sz w:val="21"/>
        </w:rPr>
        <w:t>&gt; Asked about my travel schedule, since visits keep landing on the busiest clinic days.</w:t>
      </w:r>
    </w:p>
    <w:p>
      <w:r>
        <w:rPr>
          <w:sz w:val="21"/>
        </w:rPr>
        <w:t>&gt; Asked whether I would be at the meeting later this year.</w:t>
      </w:r>
    </w:p>
    <w:p>
      <w:r>
        <w:rPr>
          <w:sz w:val="21"/>
        </w:rPr>
        <w:t>&gt; Mentioned a guideline update discussed at journal club but did not raise any specific finding.</w:t>
      </w:r>
    </w:p>
    <w:p>
      <w:r>
        <w:rPr>
          <w:sz w:val="21"/>
        </w:rPr>
        <w:t>&gt; Titration scheduling is handled by nursing staff, which the practice finds workable.</w:t>
      </w:r>
    </w:p>
    <w:p>
      <w:r>
        <w:rPr>
          <w:sz w:val="21"/>
        </w:rPr>
      </w:r>
    </w:p>
    <w:p>
      <w:r>
        <w:rPr>
          <w:b/>
          <w:sz w:val="21"/>
        </w:rPr>
        <w:t>Hadley Rothsay, MD, Foxglove Health Neurology, Lakeland, FL (AR)</w:t>
      </w:r>
    </w:p>
    <w:p>
      <w:r>
        <w:rPr>
          <w:sz w:val="21"/>
        </w:rPr>
        <w:t>&gt; Formulary placement was the only product-adjacent topic, and only in general terms.</w:t>
      </w:r>
    </w:p>
    <w:p>
      <w:r>
        <w:rPr>
          <w:sz w:val="21"/>
        </w:rPr>
        <w:t>&gt; Described how long-standing patients is triaged now compared with before.</w:t>
      </w:r>
    </w:p>
    <w:p>
      <w:r>
        <w:rPr>
          <w:sz w:val="21"/>
        </w:rPr>
        <w:t>&gt; Titration scheduling is handled by nursing staff, which the practice finds workable.</w:t>
      </w:r>
    </w:p>
    <w:p>
      <w:r>
        <w:rPr>
          <w:sz w:val="21"/>
        </w:rPr>
        <w:t>&gt; The practice lost a front-desk coordinator and has not backfilled, so the referral queue looks better than last year.</w:t>
      </w:r>
    </w:p>
    <w:p>
      <w:r>
        <w:rPr>
          <w:sz w:val="21"/>
        </w:rPr>
        <w:t>&gt; No materials requested this time. Asked about safety and confirmed nothing to report.</w:t>
      </w:r>
    </w:p>
    <w:p>
      <w:r>
        <w:rPr>
          <w:sz w:val="21"/>
        </w:rPr>
      </w:r>
    </w:p>
    <w:p>
      <w:r>
        <w:rPr>
          <w:b/>
          <w:sz w:val="21"/>
        </w:rPr>
        <w:t>Peter Kowalczyk, MD, Green Mountain Neuroscience, Burlington, VT (RSM)</w:t>
      </w:r>
    </w:p>
    <w:p>
      <w:r>
        <w:rPr>
          <w:sz w:val="21"/>
        </w:rPr>
        <w:t>&gt; A brief visit in the shared office; the schedule was tight.</w:t>
      </w:r>
    </w:p>
    <w:p>
      <w:r>
        <w:rPr>
          <w:sz w:val="21"/>
        </w:rPr>
        <w:t>&gt; The new charting templates went live without much warning, and that took up the first part of the conversation.</w:t>
      </w:r>
    </w:p>
    <w:p>
      <w:r>
        <w:rPr>
          <w:sz w:val="21"/>
        </w:rPr>
        <w:t>&gt; Titration habits came up in general terms; no specifics were discussed and none were offered.</w:t>
      </w:r>
    </w:p>
    <w:p>
      <w:r>
        <w:rPr>
          <w:sz w:val="21"/>
        </w:rPr>
      </w:r>
    </w:p>
    <w:p>
      <w:r>
        <w:rPr>
          <w:b/>
          <w:sz w:val="21"/>
        </w:rPr>
        <w:t>Esperanza Jarreau, MD, Vantage Park Regional Epilepsy Program, Hartford, CT (RSM)</w:t>
      </w:r>
    </w:p>
    <w:p>
      <w:r>
        <w:rPr>
          <w:sz w:val="21"/>
        </w:rPr>
        <w:t>&gt; Mentioned a session summary from a colleague but did not raise any specific finding.</w:t>
      </w:r>
    </w:p>
    <w:p>
      <w:r>
        <w:rPr>
          <w:sz w:val="21"/>
        </w:rPr>
        <w:t>&gt; Titration habits came up in general terms; no specifics were discussed and none were offered.</w:t>
      </w:r>
    </w:p>
    <w:p>
      <w:r>
        <w:rPr>
          <w:sz w:val="21"/>
        </w:rPr>
        <w:t>&gt; The practice lost a rotating resident and has not backfilled, so the referral queue keeps slipping.</w:t>
      </w:r>
    </w:p>
    <w:p>
      <w:r>
        <w:rPr>
          <w:sz w:val="21"/>
        </w:rPr>
        <w:t>&gt; No product discussion this time. Asked about safety and confirmed nothing to report.</w:t>
      </w:r>
    </w:p>
    <w:p>
      <w:r>
        <w:rPr>
          <w:sz w:val="21"/>
        </w:rPr>
      </w:r>
    </w:p>
    <w:p>
      <w:r>
        <w:rPr>
          <w:b/>
          <w:sz w:val="21"/>
        </w:rPr>
        <w:t>Orla Oyelaran, MD, Palmetto Neurology Institute, Provo, UT (RSM)</w:t>
      </w:r>
    </w:p>
    <w:p>
      <w:r>
        <w:rPr>
          <w:sz w:val="21"/>
        </w:rPr>
        <w:t>&gt; Noted that the appeals process varies by payer and that this is not specific to any one product.</w:t>
      </w:r>
    </w:p>
    <w:p>
      <w:r>
        <w:rPr>
          <w:sz w:val="21"/>
        </w:rPr>
        <w:t>&gt; Mostly small talk about the program and the venue.</w:t>
      </w:r>
    </w:p>
    <w:p>
      <w:r>
        <w:rPr>
          <w:sz w:val="21"/>
        </w:rPr>
        <w:t>&gt; Referenced a review that circulated on the service in passing.</w:t>
      </w:r>
    </w:p>
    <w:p>
      <w:r>
        <w:rPr>
          <w:sz w:val="21"/>
        </w:rPr>
        <w:t>&gt; Onboarding the epilepsy fellow is the current preoccupation here.</w:t>
      </w:r>
    </w:p>
    <w:p>
      <w:r>
        <w:rPr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