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January 14, 2022   |   MSL: Dana Cho</w:t>
      </w:r>
    </w:p>
    <w:p>
      <w:r>
        <w:rPr>
          <w:b/>
          <w:sz w:val="21"/>
        </w:rPr>
        <w:t>HCP: Darius Kirkpatrick, MD, Ironwood Neurology Associates, Akron, OH (RSM)</w:t>
      </w:r>
    </w:p>
    <w:p>
      <w:r>
        <w:rPr>
          <w:sz w:val="21"/>
        </w:rPr>
      </w:r>
    </w:p>
    <w:p>
      <w:r>
        <w:rPr>
          <w:sz w:val="21"/>
        </w:rPr>
        <w:t>This practice is still building familiarity with teh product and had no clinical points to raise.</w:t>
      </w:r>
    </w:p>
    <w:p>
      <w:r>
        <w:rPr>
          <w:sz w:val="21"/>
        </w:rPr>
      </w:r>
    </w:p>
    <w:p>
      <w:r>
        <w:rPr>
          <w:sz w:val="21"/>
        </w:rPr>
        <w:t>Nothing actionable this visit. Safety items asked about adn confirmed none.</w:t>
      </w:r>
    </w:p>
    <w:p>
      <w:r>
        <w:rPr>
          <w:sz w:val="21"/>
        </w:rPr>
      </w:r>
    </w:p>
    <w:p>
      <w:r>
        <w:rPr>
          <w:sz w:val="21"/>
        </w:rPr>
        <w:t>Described how newly referred patients is triaged now compared wtih before.</w:t>
      </w:r>
    </w:p>
    <w:p>
      <w:r>
        <w:rPr>
          <w:sz w:val="21"/>
        </w:rPr>
      </w:r>
    </w:p>
    <w:p>
      <w:r>
        <w:rPr>
          <w:sz w:val="21"/>
        </w:rPr>
        <w:t>Benefit verification is teh step that most often delays a start here.</w:t>
      </w:r>
    </w:p>
    <w:p>
      <w:r>
        <w:rPr>
          <w:sz w:val="21"/>
        </w:rPr>
      </w:r>
    </w:p>
    <w:p>
      <w:r>
        <w:rPr>
          <w:sz w:val="21"/>
        </w:rPr>
        <w:t>Referenced a session summary from a colleague in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