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November 20, 2022   |   MSL: Priya Menon</w:t>
      </w:r>
    </w:p>
    <w:p>
      <w:r>
        <w:rPr>
          <w:b/>
          <w:sz w:val="21"/>
        </w:rPr>
        <w:t>HCP: Ulrike Abernathy, MD, Bayview Health Neurology, Bakersfield, CA (RSM)</w:t>
      </w:r>
    </w:p>
    <w:p>
      <w:r>
        <w:rPr>
          <w:sz w:val="21"/>
        </w:rPr>
      </w:r>
    </w:p>
    <w:p>
      <w:r>
        <w:rPr>
          <w:sz w:val="21"/>
        </w:rPr>
        <w:t>This practice is still building familiarity with the product and had no clinical points to raise.</w:t>
      </w:r>
    </w:p>
    <w:p>
      <w:r>
        <w:rPr>
          <w:sz w:val="21"/>
        </w:rPr>
      </w:r>
    </w:p>
    <w:p>
      <w:r>
        <w:rPr>
          <w:sz w:val="21"/>
        </w:rPr>
        <w:t>Mentioned a guideline update discussed at journal club but did not raise any specific finding.</w:t>
      </w:r>
    </w:p>
    <w:p>
      <w:r>
        <w:rPr>
          <w:sz w:val="21"/>
        </w:rPr>
      </w:r>
    </w:p>
    <w:p>
      <w:r>
        <w:rPr>
          <w:sz w:val="21"/>
        </w:rPr>
        <w:t>The new-patient backlog keeps slipping since the summer, which shapes how much time there is for anything else.</w:t>
      </w:r>
    </w:p>
    <w:p>
      <w:r>
        <w:rPr>
          <w:sz w:val="21"/>
        </w:rPr>
      </w:r>
    </w:p>
    <w:p>
      <w:r>
        <w:rPr>
          <w:sz w:val="21"/>
        </w:rPr>
        <w:t>Asked whether I would be at the meeting later this year.</w:t>
      </w:r>
    </w:p>
    <w:p>
      <w:r>
        <w:rPr>
          <w:sz w:val="21"/>
        </w:rPr>
      </w:r>
    </w:p>
    <w:p>
      <w:r>
        <w:rPr>
          <w:sz w:val="21"/>
        </w:rPr>
        <w:t>Coverage paperwork has improved somewhat, which came up as a general frustration.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