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sz w:val="21"/>
        </w:rPr>
        <w:t>Interaction Note   |   Date: February 26, 2023   |   MSL: Dana Cho</w:t>
      </w:r>
    </w:p>
    <w:p>
      <w:r>
        <w:rPr>
          <w:b/>
          <w:sz w:val="21"/>
        </w:rPr>
        <w:t>HCP: Viraj Corliss, MD, Lakeshore Neurological Care Center, Lexington, KY (AR)</w:t>
      </w:r>
    </w:p>
    <w:p>
      <w:r>
        <w:rPr>
          <w:sz w:val="21"/>
        </w:rPr>
      </w:r>
    </w:p>
    <w:p>
      <w:r>
        <w:rPr>
          <w:sz w:val="21"/>
        </w:rPr>
        <w:t>Titration scheduling is handled by nursing staff, which the practice finds workable.</w:t>
      </w:r>
    </w:p>
    <w:p>
      <w:r>
        <w:rPr>
          <w:sz w:val="21"/>
        </w:rPr>
      </w:r>
    </w:p>
    <w:p>
      <w:r>
        <w:rPr>
          <w:sz w:val="21"/>
        </w:rPr>
        <w:t>Spent some time on newly referred patients and how workup decisions get sequenced.</w:t>
      </w:r>
    </w:p>
    <w:p>
      <w:r>
        <w:rPr>
          <w:sz w:val="21"/>
        </w:rPr>
      </w:r>
    </w:p>
    <w:p>
      <w:r>
        <w:rPr>
          <w:sz w:val="21"/>
        </w:rPr>
        <w:t>Talked through the pediatric-to-adult transfers in general terms, without any specific case.</w:t>
      </w:r>
    </w:p>
    <w:p>
      <w:r>
        <w:rPr>
          <w:sz w:val="21"/>
        </w:rPr>
      </w:r>
    </w:p>
    <w:p>
      <w:r>
        <w:rPr>
          <w:sz w:val="21"/>
        </w:rPr>
        <w:t>Most of the discussion was about the scheduling system, which is being piloted this quarter.</w:t>
      </w:r>
    </w:p>
    <w:p>
      <w:r>
        <w:rPr>
          <w:sz w:val="21"/>
        </w:rPr>
      </w:r>
    </w:p>
    <w:p>
      <w:r>
        <w:rPr>
          <w:sz w:val="21"/>
        </w:rPr>
        <w:t>Mentioned a guideline update discussed at journal club but did not raise any specific finding.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