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December 9, 2024   |   From: Sunny Okafor, Tom Alvarez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Katherine Ost, MD, Sonoran Neuroscience Institute, Tucson, AZ (RSM)</w:t>
      </w:r>
    </w:p>
    <w:p>
      <w:r>
        <w:rPr>
          <w:sz w:val="21"/>
        </w:rPr>
        <w:t>&gt; A clipped meeting in the corridor, first one this quarter.</w:t>
      </w:r>
    </w:p>
    <w:p>
      <w:r>
        <w:rPr>
          <w:sz w:val="21"/>
        </w:rPr>
        <w:t>&gt; Noted that coverage paperwork varies by payer and that this is not specific to any one product.</w:t>
      </w:r>
    </w:p>
    <w:p>
      <w:r>
        <w:rPr>
          <w:sz w:val="21"/>
        </w:rPr>
        <w:t>&gt; The composition of the pediatric-to-adult transfers has shifted over the last year or two.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Described how the refractory group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Mateo Ivanetti, MD, Bayview Health Neurology, Burlington, VT (RSM)</w:t>
      </w:r>
    </w:p>
    <w:p>
      <w:r>
        <w:rPr>
          <w:sz w:val="21"/>
        </w:rPr>
        <w:t>&gt; A fragmented conversation in the workroom, mostly logistics.</w:t>
      </w:r>
    </w:p>
    <w:p>
      <w:r>
        <w:rPr>
          <w:sz w:val="21"/>
        </w:rPr>
        <w:t>&gt; The referral queue looks better than last year since the summer, which shapes how much time there is for anything else.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Described how long-standing patients is triaged now compared with before.</w:t>
      </w:r>
    </w:p>
    <w:p>
      <w:r>
        <w:rPr>
          <w:sz w:val="21"/>
        </w:rPr>
      </w:r>
    </w:p>
    <w:p>
      <w:r>
        <w:rPr>
          <w:b/>
          <w:sz w:val="21"/>
        </w:rPr>
        <w:t>Ulrike Silverthorne, MD, Silver Creek Medical Group, Madison, WI (AR)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The practice lost two medical assistants and has not backfilled, so the new-patient backlog looks better than last year.</w:t>
      </w:r>
    </w:p>
    <w:p>
      <w:r>
        <w:rPr>
          <w:sz w:val="21"/>
        </w:rPr>
        <w:t>&gt; Referral patterns into this clinic have changed, and the older half of the panel is a bigger share than it was.</w:t>
      </w:r>
    </w:p>
    <w:p>
      <w:r>
        <w:rPr>
          <w:sz w:val="21"/>
        </w:rPr>
        <w:t>&gt; Formulary questions is handled by one person here, which came up as a general frustration.</w:t>
      </w:r>
    </w:p>
    <w:p>
      <w:r>
        <w:rPr>
          <w:sz w:val="21"/>
        </w:rPr>
      </w:r>
    </w:p>
    <w:p>
      <w:r>
        <w:rPr>
          <w:b/>
          <w:sz w:val="21"/>
        </w:rPr>
        <w:t>Anouk Oyelaran, MD, Marbury Neurological Care Center, Des Moines, IA (RSM)</w:t>
      </w:r>
    </w:p>
    <w:p>
      <w:r>
        <w:rPr>
          <w:sz w:val="21"/>
        </w:rPr>
        <w:t>&gt; Stopped by in the reading room for a short conversation.</w:t>
      </w:r>
    </w:p>
    <w:p>
      <w:r>
        <w:rPr>
          <w:sz w:val="21"/>
        </w:rPr>
        <w:t>&gt; Most of the discussion was about the new charting templates, which changed again last month.</w:t>
      </w:r>
    </w:p>
    <w:p>
      <w:r>
        <w:rPr>
          <w:sz w:val="21"/>
        </w:rPr>
        <w:t>&gt; Referenced a guideline update discussed at journal club in passing.</w:t>
      </w:r>
    </w:p>
    <w:p>
      <w:r>
        <w:rPr>
          <w:sz w:val="21"/>
        </w:rPr>
        <w:t>&gt; The practice lost one of the nurse practitioners and has not backfilled, so the referral queue keeps slipping.</w:t>
      </w:r>
    </w:p>
    <w:p>
      <w:r>
        <w:rPr>
          <w:sz w:val="21"/>
        </w:rPr>
        <w:t>&gt; Spent some time on the pediatric-to-adult transfers and how workup decisions get sequenced.</w:t>
      </w:r>
    </w:p>
    <w:p>
      <w:r>
        <w:rPr>
          <w:sz w:val="21"/>
        </w:rPr>
      </w:r>
    </w:p>
    <w:p>
      <w:r>
        <w:rPr>
          <w:b/>
          <w:sz w:val="21"/>
        </w:rPr>
        <w:t>Gemma Steinmetz, MD, Vantage Park Regional Epilepsy Program, Chattanooga, TN (RSM)</w:t>
      </w:r>
    </w:p>
    <w:p>
      <w:r>
        <w:rPr>
          <w:sz w:val="21"/>
        </w:rPr>
        <w:t>&gt; Caught a brief window in the corridor between patients.</w:t>
      </w:r>
    </w:p>
    <w:p>
      <w:r>
        <w:rPr>
          <w:sz w:val="21"/>
        </w:rPr>
        <w:t>&gt; The referral queue looks better than last year since the summer, which shapes how much time there is for anything else.</w:t>
      </w:r>
    </w:p>
    <w:p>
      <w:r>
        <w:rPr>
          <w:sz w:val="21"/>
        </w:rPr>
        <w:t>&gt; Talked through the older half of the panel in general terms, without any specific case.</w:t>
      </w:r>
    </w:p>
    <w:p>
      <w:r>
        <w:rPr>
          <w:sz w:val="21"/>
        </w:rPr>
        <w:t>&gt; No product discussion this time. Asked about safety and confirmed nothing to report.</w:t>
      </w:r>
    </w:p>
    <w:p>
      <w:r>
        <w:rPr>
          <w:sz w:val="21"/>
        </w:rPr>
      </w:r>
    </w:p>
    <w:p>
      <w:r>
        <w:rPr>
          <w:b/>
          <w:sz w:val="21"/>
        </w:rPr>
        <w:t>Harold Jessup, MD, Magnolia Grove Clinic, Jackson, MS (AR)</w:t>
      </w:r>
    </w:p>
    <w:p>
      <w:r>
        <w:rPr>
          <w:sz w:val="21"/>
        </w:rPr>
        <w:t>&gt; Agreed to reconnect at a call later this month; nothing that needed follow-up.</w:t>
      </w:r>
    </w:p>
    <w:p>
      <w:r>
        <w:rPr>
          <w:sz w:val="21"/>
        </w:rPr>
        <w:t>&gt; The appeals process is handled by one person here, which came up as a general frustration.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</w:r>
    </w:p>
    <w:p>
      <w:r>
        <w:rPr>
          <w:b/>
          <w:sz w:val="21"/>
        </w:rPr>
        <w:t>Delphine Dunmore, MD, Windrow Neuroscience Center, Wichita, KS (AR)</w:t>
      </w:r>
    </w:p>
    <w:p>
      <w:r>
        <w:rPr>
          <w:sz w:val="21"/>
        </w:rPr>
        <w:t>&gt; The new-patient backlog is slowly recovering since the summer, which shapes how much time there is for anything else.</w:t>
      </w:r>
    </w:p>
    <w:p>
      <w:r>
        <w:rPr>
          <w:sz w:val="21"/>
        </w:rPr>
        <w:t>&gt; The composition of the pediatric-to-adult transfers has shifted over the last year or two.</w:t>
      </w:r>
    </w:p>
    <w:p>
      <w:r>
        <w:rPr>
          <w:sz w:val="21"/>
        </w:rPr>
        <w:t>&gt; Talked through the older half of the panel in general terms, without any specific case.</w:t>
      </w:r>
    </w:p>
    <w:p>
      <w:r>
        <w:rPr>
          <w:sz w:val="21"/>
        </w:rPr>
        <w:t>&gt; The travel schedule this year came up, and little else.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</w:r>
    </w:p>
    <w:p>
      <w:r>
        <w:rPr>
          <w:b/>
          <w:sz w:val="21"/>
        </w:rPr>
        <w:t>Sonali Wycliffe, MD, Windrow Neuroscience Center, Eugene, OR (RSM)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No specific request this time. Asked about safety and confirmed nothing to report.</w:t>
      </w:r>
    </w:p>
    <w:p>
      <w:r>
        <w:rPr>
          <w:sz w:val="21"/>
        </w:rPr>
        <w:t>&gt; The practice lost the epilepsy fellow and has not backfilled, so clinic throughput looks better than last year.</w:t>
      </w:r>
    </w:p>
    <w:p>
      <w:r>
        <w:rPr>
          <w:sz w:val="21"/>
        </w:rPr>
        <w:t>&gt; The composition of the older half of the panel has shifted over the last year or two.</w:t>
      </w:r>
    </w:p>
    <w:p>
      <w:r>
        <w:rPr>
          <w:sz w:val="21"/>
        </w:rPr>
        <w:t>&gt; The new-patient backlog keeps slipping since the summer, which shapes how much time there is for anything else.</w:t>
      </w:r>
    </w:p>
    <w:p>
      <w:r>
        <w:rPr>
          <w:sz w:val="21"/>
        </w:rPr>
      </w:r>
    </w:p>
    <w:p>
      <w:r>
        <w:rPr>
          <w:b/>
          <w:sz w:val="21"/>
        </w:rPr>
        <w:t>Tobias Castellane, MD, Thornfield Regional Epilepsy Program, Eugene, OR (RSM)</w:t>
      </w:r>
    </w:p>
    <w:p>
      <w:r>
        <w:rPr>
          <w:sz w:val="21"/>
        </w:rPr>
        <w:t>&gt; Most of the discussion was about the scheduling system, which is still being sorted out.</w:t>
      </w:r>
    </w:p>
    <w:p>
      <w:r>
        <w:rPr>
          <w:sz w:val="21"/>
        </w:rPr>
        <w:t>&gt; Spent some time on the older half of the panel and how workup decisions get sequenced.</w:t>
      </w:r>
    </w:p>
    <w:p>
      <w:r>
        <w:rPr>
          <w:sz w:val="21"/>
        </w:rPr>
        <w:t>&gt; Agreed to reconnect at the following quarter; no specific request.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</w:r>
    </w:p>
    <w:p>
      <w:r>
        <w:rPr>
          <w:b/>
          <w:sz w:val="21"/>
        </w:rPr>
        <w:t>Jaromir Steinmetz, MD, Windrow Neuroscience Center, Lakeland, FL (AR)</w:t>
      </w:r>
    </w:p>
    <w:p>
      <w:r>
        <w:rPr>
          <w:sz w:val="21"/>
        </w:rPr>
        <w:t>&gt; A short meeting in the shared office, first one this quarter.</w:t>
      </w:r>
    </w:p>
    <w:p>
      <w:r>
        <w:rPr>
          <w:sz w:val="21"/>
        </w:rPr>
        <w:t>&gt; Referenced a case series someone forwarded in passing.</w:t>
      </w:r>
    </w:p>
    <w:p>
      <w:r>
        <w:rPr>
          <w:sz w:val="21"/>
        </w:rPr>
        <w:t>&gt; Described how the surgical workup list is triaged now compared with before.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