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sz w:val="21"/>
        </w:rPr>
        <w:t>Interaction Note   |   Date: May 20, 2025   |   MSL: Sunny Okafor</w:t>
      </w:r>
    </w:p>
    <w:p>
      <w:r>
        <w:rPr>
          <w:b/>
          <w:sz w:val="21"/>
        </w:rPr>
        <w:t>HCP: Pallavi Vasquez-Lund, MD, Northbrook Neurology Institute, Fayetteville, NC (RSM)</w:t>
      </w:r>
    </w:p>
    <w:p>
      <w:r>
        <w:rPr>
          <w:sz w:val="21"/>
        </w:rPr>
      </w:r>
    </w:p>
    <w:p>
      <w:r>
        <w:rPr>
          <w:sz w:val="21"/>
        </w:rPr>
        <w:t>Agreed to reconnect at a call later this month; no product discussion.</w:t>
      </w:r>
    </w:p>
    <w:p>
      <w:r>
        <w:rPr>
          <w:sz w:val="21"/>
        </w:rPr>
      </w:r>
    </w:p>
    <w:p>
      <w:r>
        <w:rPr>
          <w:sz w:val="21"/>
        </w:rPr>
        <w:t>Described how long-standing patients is triaged now compared with before.</w:t>
      </w:r>
    </w:p>
    <w:p>
      <w:r>
        <w:rPr>
          <w:sz w:val="21"/>
        </w:rPr>
      </w:r>
    </w:p>
    <w:p>
      <w:r>
        <w:rPr>
          <w:sz w:val="21"/>
        </w:rPr>
        <w:t>Asked about my travel schedule, since visits keep landing on the busiest clinic days.</w:t>
      </w:r>
    </w:p>
    <w:p>
      <w:r>
        <w:rPr>
          <w:sz w:val="21"/>
        </w:rPr>
      </w:r>
    </w:p>
    <w:p>
      <w:r>
        <w:rPr>
          <w:sz w:val="21"/>
        </w:rPr>
        <w:t>Compared notes on which sessions were worth the time.</w:t>
      </w:r>
    </w:p>
    <w:p>
      <w:r>
        <w:rPr>
          <w:sz w:val="21"/>
        </w:rPr>
      </w:r>
    </w:p>
    <w:p>
      <w:r>
        <w:rPr>
          <w:sz w:val="21"/>
        </w:rPr>
        <w:t>Asked whether I had seen a review that circulated on the service; I had not, and offered nothing in return.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