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June 14, 2025   |   MSL: Yuki Tanabe</w:t>
      </w:r>
    </w:p>
    <w:p>
      <w:r>
        <w:rPr>
          <w:b/>
          <w:sz w:val="21"/>
        </w:rPr>
        <w:t>HCP: Mairead Barrowman, MD, Foxglove Health Neurology, Eugene, OR (RSM)</w:t>
      </w:r>
    </w:p>
    <w:p>
      <w:r>
        <w:rPr>
          <w:sz w:val="21"/>
        </w:rPr>
      </w:r>
    </w:p>
    <w:p>
      <w:r>
        <w:rPr>
          <w:sz w:val="21"/>
        </w:rPr>
        <w:t>Asked whether I had seen a guideline update discussed at journal club; I had not, and offered nothing in return.</w:t>
      </w:r>
    </w:p>
    <w:p>
      <w:r>
        <w:rPr>
          <w:sz w:val="21"/>
        </w:rPr>
      </w:r>
    </w:p>
    <w:p>
      <w:r>
        <w:rPr>
          <w:sz w:val="21"/>
        </w:rPr>
        <w:t>Closed there — no specific request.</w:t>
      </w:r>
    </w:p>
    <w:p>
      <w:r>
        <w:rPr>
          <w:sz w:val="21"/>
        </w:rPr>
      </w:r>
    </w:p>
    <w:p>
      <w:r>
        <w:rPr>
          <w:sz w:val="21"/>
        </w:rPr>
        <w:t>The new-patient backlog looks better than last year since the summer, which shapes how much time there is for anything else.</w:t>
      </w:r>
    </w:p>
    <w:p>
      <w:r>
        <w:rPr>
          <w:sz w:val="21"/>
        </w:rPr>
      </w:r>
    </w:p>
    <w:p>
      <w:r>
        <w:rPr>
          <w:sz w:val="21"/>
        </w:rPr>
        <w:t>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sz w:val="21"/>
        </w:rPr>
        <w:t>Asked whether I would be at the meeting later this year.</w:t>
      </w:r>
    </w:p>
    <w:p>
      <w:r>
        <w:rPr>
          <w:sz w:val="21"/>
        </w:rPr>
      </w:r>
    </w:p>
    <w:p>
      <w:r>
        <w:rPr>
          <w:sz w:val="21"/>
        </w:rPr>
        <w:t>Asked me to send a concise interaction summary for elderly patients on several concomitant medications.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