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July 12, 2025   |   From: Dana Cho, Tom Alvarez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Leonie Nakagawa, MD, Ironwood Neurology Associates, Fort Wayne, IN (RSM)</w:t>
      </w:r>
    </w:p>
    <w:p>
      <w:r>
        <w:rPr>
          <w:sz w:val="21"/>
        </w:rPr>
        <w:t>&gt; Clinic throughput has stretched out since the summer, which shapes how much time there is for anything else.</w:t>
      </w:r>
    </w:p>
    <w:p>
      <w:r>
        <w:rPr>
          <w:sz w:val="21"/>
        </w:rPr>
        <w:t>&gt; Formulary questions remains the slowest step, which came up as a general frustration.</w:t>
      </w:r>
    </w:p>
    <w:p>
      <w:r>
        <w:rPr>
          <w:sz w:val="21"/>
        </w:rPr>
        <w:t>&gt; Was pleased to report that another refractory adult is holding steady on the current regimen.</w:t>
      </w:r>
    </w:p>
    <w:p>
      <w:r>
        <w:rPr>
          <w:sz w:val="21"/>
        </w:rPr>
      </w:r>
    </w:p>
    <w:p>
      <w:r>
        <w:rPr>
          <w:b/>
          <w:sz w:val="21"/>
        </w:rPr>
        <w:t>Felicity Ashgrove, MD, Foxglove Health Neurology, Missoula, MT (RSM)</w:t>
      </w:r>
    </w:p>
    <w:p>
      <w:r>
        <w:rPr>
          <w:sz w:val="21"/>
        </w:rPr>
        <w:t>&gt; A productive meeting in the shared office, first one this quarter.</w:t>
      </w:r>
    </w:p>
    <w:p>
      <w:r>
        <w:rPr>
          <w:sz w:val="21"/>
        </w:rPr>
        <w:t>&gt; The composition of the surgical workup list has shifted over the last year or two.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</w:r>
    </w:p>
    <w:p>
      <w:r>
        <w:rPr>
          <w:b/>
          <w:sz w:val="21"/>
        </w:rPr>
        <w:t>Renee Calloway, MD, Palmetto Neurology Associates, Charleston, SC (RSM)</w:t>
      </w:r>
    </w:p>
    <w:p>
      <w:r>
        <w:rPr>
          <w:sz w:val="21"/>
        </w:rPr>
        <w:t>&gt; Left it at that, with the next visit to be scheduled.</w:t>
      </w:r>
    </w:p>
    <w:p>
      <w:r>
        <w:rPr>
          <w:sz w:val="21"/>
        </w:rPr>
        <w:t>&gt; Described how the pediatric-to-adult transfers is triaged now compared with before.</w:t>
      </w:r>
    </w:p>
    <w:p>
      <w:r>
        <w:rPr>
          <w:sz w:val="21"/>
        </w:rPr>
        <w:t>&gt; Formulary questions remains the slowest step, which came up as a general frustration.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Alastair Whitmore, MD, Vantage Park Regional Epilepsy Program, Hartford, CT (AR)</w:t>
      </w:r>
    </w:p>
    <w:p>
      <w:r>
        <w:rPr>
          <w:sz w:val="21"/>
        </w:rPr>
        <w:t>&gt; A twenty-minute visit in the back office; the schedule was tight.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  <w:t>&gt; The referral queue has stretched out since the summer, which shapes how much time there is for anything else.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</w:r>
    </w:p>
    <w:p>
      <w:r>
        <w:rPr>
          <w:b/>
          <w:sz w:val="21"/>
        </w:rPr>
        <w:t>Gemma Oakhurst, MD, Palmetto Neurology Institute, Fort Wayne, IN (RSM)</w:t>
      </w:r>
    </w:p>
    <w:p>
      <w:r>
        <w:rPr>
          <w:sz w:val="21"/>
        </w:rPr>
        <w:t>&gt; Caught a compressed window in the corridor between patients.</w:t>
      </w:r>
    </w:p>
    <w:p>
      <w:r>
        <w:rPr>
          <w:sz w:val="21"/>
        </w:rPr>
        <w:t>&gt; Mentioned a session summary from a colleague but did not raise any specific finding.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The patient portal went live without much warning, and that took up the first part of the conversation.</w:t>
      </w:r>
    </w:p>
    <w:p>
      <w:r>
        <w:rPr>
          <w:sz w:val="21"/>
        </w:rPr>
      </w:r>
    </w:p>
    <w:p>
      <w:r>
        <w:rPr>
          <w:b/>
          <w:sz w:val="21"/>
        </w:rPr>
        <w:t>Rasmus Cavanaugh, MD, Bayview Health Neurology, Boise, ID (RSM)</w:t>
      </w:r>
    </w:p>
    <w:p>
      <w:r>
        <w:rPr>
          <w:sz w:val="21"/>
        </w:rPr>
        <w:t>&gt; A rushed meeting by the scheduling desk, first one this quarter.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Spent some time on newly referred patients and how workup decisions get sequenced.</w:t>
      </w:r>
    </w:p>
    <w:p>
      <w:r>
        <w:rPr>
          <w:sz w:val="21"/>
        </w:rPr>
        <w:t>&gt; Wanted to pass along that one adult who had exhausted the usual combinations is now doing markedly better.</w:t>
      </w:r>
    </w:p>
    <w:p>
      <w:r>
        <w:rPr>
          <w:sz w:val="21"/>
        </w:rPr>
      </w:r>
    </w:p>
    <w:p>
      <w:r>
        <w:rPr>
          <w:b/>
          <w:sz w:val="21"/>
        </w:rPr>
        <w:t>Silvio Barrowman, MD, Beacon Hill Neurology Associates, Providence, RI (AR)</w:t>
      </w:r>
    </w:p>
    <w:p>
      <w:r>
        <w:rPr>
          <w:sz w:val="21"/>
        </w:rPr>
        <w:t>&gt; A brief visit between clinic blocks; the schedule was tight.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Referenced a case series someone forwarded in passing.</w:t>
      </w:r>
    </w:p>
    <w:p>
      <w:r>
        <w:rPr>
          <w:sz w:val="21"/>
        </w:rPr>
        <w:t>&gt; Noted that coverage paperwork takes longer than the clinical decision and that this is not specific to any one product.</w:t>
      </w:r>
    </w:p>
    <w:p>
      <w:r>
        <w:rPr>
          <w:sz w:val="21"/>
        </w:rPr>
        <w:t>&gt; Referral patterns into this clinic have changed, and long-standing patients is a bigger share than it was.</w:t>
      </w:r>
    </w:p>
    <w:p>
      <w:r>
        <w:rPr>
          <w:sz w:val="21"/>
        </w:rPr>
      </w:r>
    </w:p>
    <w:p>
      <w:r>
        <w:rPr>
          <w:b/>
          <w:sz w:val="21"/>
        </w:rPr>
        <w:t>Rohan Harkness, MD, Riverstone Comprehensive Epilepsy Clinic, Grand Rapids, MI (RSM)</w:t>
      </w:r>
    </w:p>
    <w:p>
      <w:r>
        <w:rPr>
          <w:sz w:val="21"/>
        </w:rPr>
        <w:t>&gt; Nothing actionable this visit this time. Asked about safety and confirmed nothing to report.</w:t>
      </w:r>
    </w:p>
    <w:p>
      <w:r>
        <w:rPr>
          <w:sz w:val="21"/>
        </w:rPr>
        <w:t>&gt; Noted an adult complaining of unsteadiness since the dose increase.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Bram Merriwether, MD, Willowmere Neuroscience Center, Toledo, OH (RSM)</w:t>
      </w:r>
    </w:p>
    <w:p>
      <w:r>
        <w:rPr>
          <w:sz w:val="21"/>
        </w:rPr>
        <w:t>&gt; A clipped conversation between clinic blocks, mostly logistics.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The scheduling system changed again last month, and that took up the first part of the conversation.</w:t>
      </w:r>
    </w:p>
    <w:p>
      <w:r>
        <w:rPr>
          <w:sz w:val="21"/>
        </w:rPr>
        <w:t>&gt; Asked what is known about reproductive-age patients who ask about pregnancy outcomes and get no clear answer.</w:t>
      </w:r>
    </w:p>
    <w:p>
      <w:r>
        <w:rPr>
          <w:sz w:val="21"/>
        </w:rPr>
      </w:r>
    </w:p>
    <w:p>
      <w:r>
        <w:rPr>
          <w:b/>
          <w:sz w:val="21"/>
        </w:rPr>
        <w:t>Anjali Larkspur, MD, Harborlight Epilepsy Center, Lakeland, FL (RSM)</w:t>
      </w:r>
    </w:p>
    <w:p>
      <w:r>
        <w:rPr>
          <w:sz w:val="21"/>
        </w:rPr>
        <w:t>&gt; Referenced a review that circulated on the service in passing.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  <w:t>&gt; Spent some time on the pediatric-to-adult transfers and how workup decisions get sequenced.</w:t>
      </w:r>
    </w:p>
    <w:p>
      <w:r>
        <w:rPr>
          <w:sz w:val="21"/>
        </w:rPr>
        <w:t>&gt; No product discussion. Safety items asked about and confirmed none.</w:t>
      </w:r>
    </w:p>
    <w:p>
      <w:r>
        <w:rPr>
          <w:sz w:val="21"/>
        </w:rPr>
        <w:t>&gt; Would like the drug-drug interaction table for geriatric polypharmacy cases.</w:t>
      </w:r>
    </w:p>
    <w:p>
      <w:r>
        <w:rPr>
          <w:sz w:val="21"/>
        </w:rPr>
      </w:r>
    </w:p>
    <w:p>
      <w:r>
        <w:rPr>
          <w:b/>
          <w:sz w:val="21"/>
        </w:rPr>
        <w:t>Nikolai Barrowman, MD, Bluestem Comprehensive Epilepsy Clinic, Springfield, MO (AR)</w:t>
      </w:r>
    </w:p>
    <w:p>
      <w:r>
        <w:rPr>
          <w:sz w:val="21"/>
        </w:rPr>
        <w:t>&gt; A rushed visit by the scheduling desk; the schedule was tight.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  <w:t>&gt; Spent some time on long-standing patients and how workup decisions get sequenced.</w:t>
      </w:r>
    </w:p>
    <w:p>
      <w:r>
        <w:rPr>
          <w:sz w:val="21"/>
        </w:rPr>
        <w:t>&gt; The practice lost the epilepsy fellow and has not backfilled, so the new-patient backlog has stretched out.</w:t>
      </w:r>
    </w:p>
    <w:p>
      <w:r>
        <w:rPr>
          <w:sz w:val="21"/>
        </w:rPr>
        <w:t>&gt; Most of the discussion was about the patient portal, which went live without much warning.</w:t>
      </w:r>
    </w:p>
    <w:p>
      <w:r>
        <w:rPr>
          <w:sz w:val="21"/>
        </w:rPr>
      </w:r>
    </w:p>
    <w:p>
      <w:r>
        <w:rPr>
          <w:b/>
          <w:sz w:val="21"/>
        </w:rPr>
        <w:t>Kenji Dunmore, MD, Windrow Neuroscience Center, Manchester, NH (RSM)</w:t>
      </w:r>
    </w:p>
    <w:p>
      <w:r>
        <w:rPr>
          <w:sz w:val="21"/>
        </w:rPr>
        <w:t>&gt; Referral patterns into this clinic have changed, and long-standing patients is a bigger share than it was.</w:t>
      </w:r>
    </w:p>
    <w:p>
      <w:r>
        <w:rPr>
          <w:sz w:val="21"/>
        </w:rPr>
        <w:t>&gt; Asked me to send a one-page interaction reference for the geriatric panel.</w:t>
      </w:r>
    </w:p>
    <w:p>
      <w:r>
        <w:rPr>
          <w:sz w:val="21"/>
        </w:rPr>
        <w:t>&gt; Formulary questions has improved somewhat, which came up as a general frustration.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