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August 17, 2025   |   MSL: Nadia Belhadj</w:t>
      </w:r>
    </w:p>
    <w:p>
      <w:r>
        <w:rPr>
          <w:b/>
          <w:sz w:val="21"/>
        </w:rPr>
        <w:t>HCP: Gaspar Nashwood, MD, Copperfield Neurology Institute, Omaha, NE (RSM)</w:t>
      </w:r>
    </w:p>
    <w:p>
      <w:r>
        <w:rPr>
          <w:sz w:val="21"/>
        </w:rPr>
      </w:r>
    </w:p>
    <w:p>
      <w:r>
        <w:rPr>
          <w:sz w:val="21"/>
        </w:rPr>
        <w:t>A twenty-minute meeting between clinic blocks, first one this quarter.</w:t>
      </w:r>
    </w:p>
    <w:p>
      <w:r>
        <w:rPr>
          <w:sz w:val="21"/>
        </w:rPr>
      </w:r>
    </w:p>
    <w:p>
      <w:r>
        <w:rPr>
          <w:sz w:val="21"/>
        </w:rPr>
        <w:t>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sz w:val="21"/>
        </w:rPr>
        <w:t>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sz w:val="21"/>
        </w:rPr>
        <w:t>Wants material the nursing staff could hand to families of older patients.</w:t>
      </w:r>
    </w:p>
    <w:p>
      <w:r>
        <w:rPr>
          <w:sz w:val="21"/>
        </w:rPr>
      </w:r>
    </w:p>
    <w:p>
      <w:r>
        <w:rPr>
          <w:sz w:val="21"/>
        </w:rPr>
        <w:t>Most of the discussion was about the prior-authorization workflow, which went live without much warning.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