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1"/>
        </w:rPr>
        <w:t>[SYNTHETIC SAMPLE] Fictional record generated for the DELPHi prototype demo. Names, institutions, and statements are invented; the layout imitates a generic field-medical format. Not a real document and not derived from any real record.</w:t>
      </w:r>
    </w:p>
    <w:p>
      <w:r>
        <w:rPr>
          <w:sz w:val="21"/>
        </w:rPr>
      </w:r>
    </w:p>
    <w:p>
      <w:r>
        <w:rPr>
          <w:b/>
          <w:sz w:val="21"/>
        </w:rPr>
        <w:t>Field Medical Highlights — XCOPRI (cenobamate)</w:t>
      </w:r>
    </w:p>
    <w:p>
      <w:r>
        <w:rPr>
          <w:sz w:val="21"/>
        </w:rPr>
        <w:t>Date: December 8, 2025   |   From: Priya Menon, Tom Alvarez</w:t>
      </w:r>
    </w:p>
    <w:p>
      <w:r>
        <w:rPr>
          <w:sz w:val="21"/>
        </w:rPr>
      </w:r>
    </w:p>
    <w:p>
      <w:r>
        <w:rPr>
          <w:b/>
          <w:sz w:val="21"/>
        </w:rPr>
        <w:t>FIELD MEDICAL INSIGHTS</w:t>
      </w:r>
    </w:p>
    <w:p>
      <w:r>
        <w:rPr>
          <w:sz w:val="21"/>
        </w:rPr>
      </w:r>
    </w:p>
    <w:p>
      <w:r>
        <w:rPr>
          <w:b/>
          <w:sz w:val="21"/>
        </w:rPr>
        <w:t>Jorge Maldonado, MD, Redwood Basin Medical Group, Sacramento, CA (RSM)</w:t>
      </w:r>
    </w:p>
    <w:p>
      <w:r>
        <w:rPr>
          <w:sz w:val="21"/>
        </w:rPr>
        <w:t>&gt; Discussion was limited to logistics for the regional epilepsy meeting in the spring; the group plans to send two attendings and one NP this year.</w:t>
      </w:r>
    </w:p>
    <w:p>
      <w:r>
        <w:rPr>
          <w:sz w:val="21"/>
        </w:rPr>
        <w:t>&gt; Noted that the Friday sessions overlap with a full clinic day and asked whether the agenda would be circulated in advance.</w:t>
      </w:r>
    </w:p>
    <w:p>
      <w:r>
        <w:rPr>
          <w:sz w:val="21"/>
        </w:rPr>
        <w:t>&gt; Follow-ups: (1) forward the published agenda once available, (2) confirm whether the pre-meeting workshop requires seperate registration.</w:t>
      </w:r>
    </w:p>
    <w:p>
      <w:r>
        <w:rPr>
          <w:sz w:val="21"/>
        </w:rPr>
      </w:r>
    </w:p>
    <w:p>
      <w:r>
        <w:rPr>
          <w:b/>
          <w:sz w:val="21"/>
        </w:rPr>
        <w:t>Fiona Gallagher, MD, Great Lakes Epilepsy Institute, Madison, WI (RSM)</w:t>
      </w:r>
    </w:p>
    <w:p>
      <w:r>
        <w:rPr>
          <w:sz w:val="21"/>
        </w:rPr>
        <w:t>&gt; Most of the conversation concerned teaching load. Three residents are rotating through the epilepsy service this block, and journal club has moved to the first Tuesday of the month.</w:t>
      </w:r>
    </w:p>
    <w:p>
      <w:r>
        <w:rPr>
          <w:sz w:val="21"/>
        </w:rPr>
        <w:t>&gt; Asked whether an MSL may sit in on journal club as an observer; I described the usual practice and said I would confirm what is permitted.</w:t>
      </w:r>
    </w:p>
    <w:p>
      <w:r>
        <w:rPr>
          <w:sz w:val="21"/>
        </w:rPr>
        <w:t>&gt; Follow-ups: (1) confirm the observer attendance policy, (2) send the contact for room booking so the spring session can be scheduled.</w:t>
      </w:r>
    </w:p>
    <w:p>
      <w:r>
        <w:rPr>
          <w:sz w:val="21"/>
        </w:rPr>
      </w:r>
    </w:p>
    <w:p>
      <w:r>
        <w:rPr>
          <w:b/>
          <w:sz w:val="21"/>
        </w:rPr>
        <w:t>Priya Raghavan, MD, North Star Neurology, Minneapolis, MN (RSM)</w:t>
      </w:r>
    </w:p>
    <w:p>
      <w:r>
        <w:rPr>
          <w:sz w:val="21"/>
        </w:rPr>
        <w:t>&gt; Reviewed the focal-onset caseload at a high level. Most adults in the panel arrive already on one or two ASMs, referred in from primary care.</w:t>
      </w:r>
    </w:p>
    <w:p>
      <w:r>
        <w:rPr>
          <w:sz w:val="21"/>
        </w:rPr>
        <w:t>&gt; Noted one adult on cenobamate describing daytime somnolence severe enough to affect the daily commute.</w:t>
      </w:r>
    </w:p>
    <w:p>
      <w:r>
        <w:rPr>
          <w:sz w:val="21"/>
        </w:rPr>
        <w:t>&gt; I offered no comment on management and asked that the experience be reported through the standard safety channel; a report has been initiated on my side per procedure.</w:t>
      </w:r>
    </w:p>
    <w:p>
      <w:r>
        <w:rPr>
          <w:sz w:val="21"/>
        </w:rPr>
        <w:t>&gt; Follow-ups: (1) provide the safety intake reference once assigned, (2) resend the patient counseling material list requested in October.</w:t>
      </w:r>
    </w:p>
    <w:p>
      <w:r>
        <w:rPr>
          <w:sz w:val="21"/>
        </w:rPr>
      </w:r>
    </w:p>
    <w:p>
      <w:r>
        <w:rPr>
          <w:b/>
          <w:sz w:val="21"/>
        </w:rPr>
        <w:t>Alice Nguyen-Barr, MD, Old Dominion Neurology Group, Richmond, VA (AR)</w:t>
      </w:r>
    </w:p>
    <w:p>
      <w:r>
        <w:rPr>
          <w:sz w:val="21"/>
        </w:rPr>
        <w:t>&gt; Conversation centered on the geriatric share of the practice, which has grown noticeably over the past two years.</w:t>
      </w:r>
    </w:p>
    <w:p>
      <w:r>
        <w:rPr>
          <w:sz w:val="21"/>
        </w:rPr>
        <w:t>&gt; For older adults, the worry is less about efficacy and more about interaction checks and the burden of slow titration.</w:t>
      </w:r>
    </w:p>
    <w:p>
      <w:r>
        <w:rPr>
          <w:sz w:val="21"/>
        </w:rPr>
        <w:t>&gt; Added that every new start means a separate pharmacy review and at least two additional calls to the family, absorbed by the same front-desk staff.</w:t>
      </w:r>
    </w:p>
    <w:p>
      <w:r>
        <w:rPr>
          <w:sz w:val="21"/>
        </w:rPr>
        <w:t>&gt; Follow-ups: (1) identify which approved XCOPRI interaction reference may be shared, (2) ask Medical Information whether a caregiver-facing explainer on the titration period exists.</w:t>
      </w:r>
    </w:p>
    <w:p>
      <w:r>
        <w:rPr>
          <w:sz w:val="21"/>
        </w:rPr>
      </w:r>
    </w:p>
    <w:p>
      <w:r>
        <w:rPr>
          <w:b/>
          <w:sz w:val="21"/>
        </w:rPr>
        <w:t>Eamon Hollingsworth, MD, Silver Creek Medical Group, Fort Collins, CO (RSM)</w:t>
      </w:r>
    </w:p>
    <w:p>
      <w:r>
        <w:rPr>
          <w:sz w:val="21"/>
        </w:rPr>
        <w:t>&gt; Coverage paperwork has improved somewhat, which came up as a general frustration.</w:t>
      </w:r>
    </w:p>
    <w:p>
      <w:r>
        <w:rPr>
          <w:sz w:val="21"/>
        </w:rPr>
        <w:t>&gt; Referenced a guideline update discussed at journal club in passing.</w:t>
      </w:r>
    </w:p>
    <w:p>
      <w:r>
        <w:rPr>
          <w:sz w:val="21"/>
        </w:rPr>
        <w:t>&gt; Brought up, unprompted, how families of Lennox-Gastaut patients keep asking what else exists.</w:t>
      </w:r>
    </w:p>
    <w:p>
      <w:r>
        <w:rPr>
          <w:sz w:val="21"/>
        </w:rPr>
        <w:t>&gt; The referral intake process went live without much warning, and that took up the first part of the conversation.</w:t>
      </w:r>
    </w:p>
    <w:p>
      <w:r>
        <w:rPr>
          <w:sz w:val="21"/>
        </w:rPr>
        <w:t>&gt; The practice lost two medical assistants and has not backfilled, so routine follow-up slots looks better than last year.</w:t>
      </w:r>
    </w:p>
    <w:p>
      <w:r>
        <w:rPr>
          <w:sz w:val="21"/>
        </w:rPr>
      </w:r>
    </w:p>
    <w:p>
      <w:r>
        <w:rPr>
          <w:b/>
          <w:sz w:val="21"/>
        </w:rPr>
        <w:t>Anouk Oyelaran, MD, Marbury Neurological Care Center, Des Moines, IA (RSM)</w:t>
      </w:r>
    </w:p>
    <w:p>
      <w:r>
        <w:rPr>
          <w:sz w:val="21"/>
        </w:rPr>
        <w:t>&gt; A short meeting at the nurses' station, first one this quarter.</w:t>
      </w:r>
    </w:p>
    <w:p>
      <w:r>
        <w:rPr>
          <w:sz w:val="21"/>
        </w:rPr>
        <w:t>&gt; Flagged seizures after stroke, and what evidence exists for this population.</w:t>
      </w:r>
    </w:p>
    <w:p>
      <w:r>
        <w:rPr>
          <w:sz w:val="21"/>
        </w:rPr>
        <w:t>&gt; Onboarding two medical assistants is the current preoccupation here.</w:t>
      </w:r>
    </w:p>
    <w:p>
      <w:r>
        <w:rPr>
          <w:sz w:val="21"/>
        </w:rPr>
        <w:t>&gt; The composition of the pediatric-to-adult transfers has shifted over the last year or two.</w:t>
      </w:r>
    </w:p>
    <w:p>
      <w:r>
        <w:rPr>
          <w:sz w:val="21"/>
        </w:rPr>
        <w:t>&gt; Noted that benefit checks varies by payer and that this is not specific to any one product.</w:t>
      </w:r>
    </w:p>
    <w:p>
      <w:r>
        <w:rPr>
          <w:sz w:val="21"/>
        </w:rPr>
      </w:r>
    </w:p>
    <w:p>
      <w:r>
        <w:rPr>
          <w:b/>
          <w:sz w:val="21"/>
        </w:rPr>
        <w:t>Tadeo Norrington, MD, Vantage Park Regional Epilepsy Program, Grand Rapids, MI (RSM)</w:t>
      </w:r>
    </w:p>
    <w:p>
      <w:r>
        <w:rPr>
          <w:sz w:val="21"/>
        </w:rPr>
        <w:t>&gt; The phone triage line is still being sorted out, and that took up the first part of the conversation.</w:t>
      </w:r>
    </w:p>
    <w:p>
      <w:r>
        <w:rPr>
          <w:sz w:val="21"/>
        </w:rPr>
        <w:t>&gt; Said the hardest population in this practice is Lennox-Gastaut syndrome, where the available regimens have plainly run out.</w:t>
      </w:r>
    </w:p>
    <w:p>
      <w:r>
        <w:rPr>
          <w:sz w:val="21"/>
        </w:rPr>
        <w:t>&gt; Referral patterns into this clinic have changed, and the surgical workup list is a bigger share than it was.</w:t>
      </w:r>
    </w:p>
    <w:p>
      <w:r>
        <w:rPr>
          <w:sz w:val="21"/>
        </w:rPr>
        <w:t>&gt; Closed there — nothing that needed follow-up.</w:t>
      </w:r>
    </w:p>
    <w:p>
      <w:r>
        <w:rPr>
          <w:sz w:val="21"/>
        </w:rPr>
      </w:r>
    </w:p>
    <w:p>
      <w:r>
        <w:rPr>
          <w:b/>
          <w:sz w:val="21"/>
        </w:rPr>
        <w:t>Gemma Barrowman, MD, Ember Lake Medical Group, Santa Fe, NM (RSM)</w:t>
      </w:r>
    </w:p>
    <w:p>
      <w:r>
        <w:rPr>
          <w:sz w:val="21"/>
        </w:rPr>
        <w:t>&gt; The practice lost one of the nurse practitioners and has not backfilled, so routine follow-up slots keeps slipping.</w:t>
      </w:r>
    </w:p>
    <w:p>
      <w:r>
        <w:rPr>
          <w:sz w:val="21"/>
        </w:rPr>
        <w:t>&gt; The main hesitation is waiting for a pharmacist to clear the full medication list in patients over 65.</w:t>
      </w:r>
    </w:p>
    <w:p>
      <w:r>
        <w:rPr>
          <w:sz w:val="21"/>
        </w:rPr>
        <w:t>&gt; Referral patterns into this clinic have changed, and long-standing patients is a bigger share than it was.</w:t>
      </w:r>
    </w:p>
    <w:p>
      <w:r>
        <w:rPr>
          <w:sz w:val="21"/>
        </w:rPr>
      </w:r>
    </w:p>
    <w:p>
      <w:r>
        <w:rPr>
          <w:b/>
          <w:sz w:val="21"/>
        </w:rPr>
        <w:t>Camila Prendergast, MD, Ember Lake Medical Group, Trenton, NJ (RSM)</w:t>
      </w:r>
    </w:p>
    <w:p>
      <w:r>
        <w:rPr>
          <w:sz w:val="21"/>
        </w:rPr>
        <w:t>&gt; A full visit at the nurses' station; the schedule was tight.</w:t>
      </w:r>
    </w:p>
    <w:p>
      <w:r>
        <w:rPr>
          <w:sz w:val="21"/>
        </w:rPr>
        <w:t>&gt; Raised, unprompted, the mismatch between the focal-only indication and the generalized cases filling this clinic.</w:t>
      </w:r>
    </w:p>
    <w:p>
      <w:r>
        <w:rPr>
          <w:sz w:val="21"/>
        </w:rPr>
        <w:t>&gt; Referral patterns into this clinic have changed, and long-standing patients is a bigger share than it was.</w:t>
      </w:r>
    </w:p>
    <w:p>
      <w:r>
        <w:rPr>
          <w:sz w:val="21"/>
        </w:rPr>
        <w:t>&gt; Wants whatever literature exists on generalized tonic-clonic populations.</w:t>
      </w:r>
    </w:p>
    <w:p>
      <w:r>
        <w:rPr>
          <w:sz w:val="21"/>
        </w:rPr>
      </w:r>
    </w:p>
    <w:p>
      <w:r>
        <w:rPr>
          <w:b/>
          <w:sz w:val="21"/>
        </w:rPr>
        <w:t>Arvind Corliss, MD, Bluestem Comprehensive Epilepsy Clinic, Lakeland, FL (RSM)</w:t>
      </w:r>
    </w:p>
    <w:p>
      <w:r>
        <w:rPr>
          <w:sz w:val="21"/>
        </w:rPr>
        <w:t>&gt; Talked through the surgical workup list in general terms, without any specific case.</w:t>
      </w:r>
    </w:p>
    <w:p>
      <w:r>
        <w:rPr>
          <w:sz w:val="21"/>
        </w:rPr>
        <w:t>&gt; Most of the discussion was about the referral intake process, which has not settled.</w:t>
      </w:r>
    </w:p>
    <w:p>
      <w:r>
        <w:rPr>
          <w:sz w:val="21"/>
        </w:rPr>
        <w:t>&gt; Noted the multi-seizure-type patients under a Lennox-Gastaut diagnosis for whom nothing is approved here.</w:t>
      </w:r>
    </w:p>
    <w:p>
      <w:r>
        <w:rPr>
          <w:sz w:val="21"/>
        </w:rPr>
      </w:r>
    </w:p>
    <w:p>
      <w:r>
        <w:rPr>
          <w:b/>
          <w:sz w:val="21"/>
        </w:rPr>
        <w:t>Imani Grierson, MD, Foxglove Health Neurology, Wichita, KS (RSM)</w:t>
      </w:r>
    </w:p>
    <w:p>
      <w:r>
        <w:rPr>
          <w:sz w:val="21"/>
        </w:rPr>
        <w:t>&gt; Talked through long-standing patients in general terms, without any specific case.</w:t>
      </w:r>
    </w:p>
    <w:p>
      <w:r>
        <w:rPr>
          <w:sz w:val="21"/>
        </w:rPr>
        <w:t>&gt; Mentioned a review that circulated on the service but did not raise any specific finding.</w:t>
      </w:r>
    </w:p>
    <w:p>
      <w:r>
        <w:rPr>
          <w:sz w:val="21"/>
        </w:rPr>
        <w:t>&gt; Closed there — nothing that needed follow-up.</w:t>
      </w:r>
    </w:p>
    <w:p>
      <w:r>
        <w:rPr>
          <w:sz w:val="21"/>
        </w:rPr>
        <w:t>&gt; Asked whether anything is moving for the drop-attack burden in Lennox-Gastaut patients and how little the current shelf offers.</w:t>
      </w:r>
    </w:p>
    <w:p>
      <w:r>
        <w:rPr>
          <w:sz w:val="21"/>
        </w:rPr>
        <w:t>&gt; Asked whether I would be at the meeting later this year.</w:t>
      </w:r>
    </w:p>
    <w:p>
      <w:r>
        <w:rPr>
          <w:sz w:val="21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