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May 26, 2026   |   MSL: Yuki Tanabe</w:t>
      </w:r>
    </w:p>
    <w:p>
      <w:r>
        <w:rPr>
          <w:b/>
          <w:sz w:val="21"/>
        </w:rPr>
        <w:t>HCP: Jaromir Cavanaugh, MD, Granite Bay Epilepsy Center, Burlington, VT (AR)</w:t>
      </w:r>
    </w:p>
    <w:p>
      <w:r>
        <w:rPr>
          <w:sz w:val="21"/>
        </w:rPr>
      </w:r>
    </w:p>
    <w:p>
      <w:r>
        <w:rPr>
          <w:sz w:val="21"/>
        </w:rPr>
        <w:t>Asked whether I would be at the meeting later this year.</w:t>
      </w:r>
    </w:p>
    <w:p>
      <w:r>
        <w:rPr>
          <w:sz w:val="21"/>
        </w:rPr>
      </w:r>
    </w:p>
    <w:p>
      <w:r>
        <w:rPr>
          <w:sz w:val="21"/>
        </w:rPr>
        <w:t>The appeals process is handled by one person here, which came up as a general frustration.</w:t>
      </w:r>
    </w:p>
    <w:p>
      <w:r>
        <w:rPr>
          <w:sz w:val="21"/>
        </w:rPr>
      </w:r>
    </w:p>
    <w:p>
      <w:r>
        <w:rPr>
          <w:sz w:val="21"/>
        </w:rPr>
        <w:t>Said the barrier in older adults is the burden of slow titration for older patients and their caregivers.</w:t>
      </w:r>
    </w:p>
    <w:p>
      <w:r>
        <w:rPr>
          <w:sz w:val="21"/>
        </w:rPr>
      </w:r>
    </w:p>
    <w:p>
      <w:r>
        <w:rPr>
          <w:sz w:val="21"/>
        </w:rPr>
        <w:t>The composition of the pediatric-to-adult transfers has shifted over the last year or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