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July 20, 2026   |   MSL: Priya Menon</w:t>
      </w:r>
    </w:p>
    <w:p>
      <w:r>
        <w:rPr>
          <w:b/>
          <w:sz w:val="21"/>
        </w:rPr>
        <w:t>HCP: Rohan Harkness, MD, Riverstone Comprehensive Epilepsy Clinic, Grand Rapids, MI (RSM)</w:t>
      </w:r>
    </w:p>
    <w:p>
      <w:r>
        <w:rPr>
          <w:sz w:val="21"/>
        </w:rPr>
      </w:r>
    </w:p>
    <w:p>
      <w:r>
        <w:rPr>
          <w:sz w:val="21"/>
        </w:rPr>
        <w:t>A productive visit between clinic blocks; the schedule was tight.</w:t>
      </w:r>
    </w:p>
    <w:p>
      <w:r>
        <w:rPr>
          <w:sz w:val="21"/>
        </w:rPr>
      </w:r>
    </w:p>
    <w:p>
      <w:r>
        <w:rPr>
          <w:sz w:val="21"/>
        </w:rPr>
        <w:t>Noted the burden of slow titration for older patients and their caregivers.</w:t>
      </w:r>
    </w:p>
    <w:p>
      <w:r>
        <w:rPr>
          <w:sz w:val="21"/>
        </w:rPr>
      </w:r>
    </w:p>
    <w:p>
      <w:r>
        <w:rPr>
          <w:sz w:val="21"/>
        </w:rPr>
        <w:t>Agreed to reconnect at the next visit; nothing that needed follow-up.</w:t>
      </w:r>
    </w:p>
    <w:p>
      <w:r>
        <w:rPr>
          <w:sz w:val="21"/>
        </w:rPr>
      </w:r>
    </w:p>
    <w:p>
      <w:r>
        <w:rPr>
          <w:sz w:val="21"/>
        </w:rPr>
        <w:t>Clinic throughput is slowly recovering since the summer, which shapes how much time there is for anything else.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