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June 14, 2021   |   From: Rachel Suh, Marcus Obeng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Eamon Hollingsworth, MD, Silver Creek Medical Group, Fort Collins, CO (RSM)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  <w:t>&gt; The practice lost the clinic pharmacist and has not backfilled, so clinic throughput has stretched out.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Nothing that needed follow-up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Camila Dunmore, MD, Ironwood Neurology Associates, Lexington, KY (RSM)</w:t>
      </w:r>
    </w:p>
    <w:p>
      <w:r>
        <w:rPr>
          <w:sz w:val="21"/>
        </w:rPr>
        <w:t>&gt; Stopped by in the reading room for an unhurried conversation.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Coverage paperwork takes longer than the clinical decision, which came up as a general frustration.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Darius Prendergast, MD, Quarry Hill Epilepsy Center, Duluth, MN (RSM)</w:t>
      </w:r>
    </w:p>
    <w:p>
      <w:r>
        <w:rPr>
          <w:sz w:val="21"/>
        </w:rPr>
        <w:t>&gt; A short meeting at the end of the clinic list, first one this quarter.</w:t>
      </w:r>
    </w:p>
    <w:p>
      <w:r>
        <w:rPr>
          <w:sz w:val="21"/>
        </w:rPr>
        <w:t>&gt; The prior-authorization workflow went live without much warning, and that took up the first part of the conversation.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</w:r>
    </w:p>
    <w:p>
      <w:r>
        <w:rPr>
          <w:b/>
          <w:sz w:val="21"/>
        </w:rPr>
        <w:t>Jaromir Cavanaugh, MD, Granite Bay Epilepsy Center, Burlington, VT (AR)</w:t>
      </w:r>
    </w:p>
    <w:p>
      <w:r>
        <w:rPr>
          <w:sz w:val="21"/>
        </w:rPr>
        <w:t>&gt; Closed there — nothing actionable this visit.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p>
      <w:r>
        <w:rPr>
          <w:b/>
          <w:sz w:val="21"/>
        </w:rPr>
        <w:t>Gaspar Yoshimura, MD, Vantage Park Regional Epilepsy Program, Bakersfield, CA (RSM)</w:t>
      </w:r>
    </w:p>
    <w:p>
      <w:r>
        <w:rPr>
          <w:sz w:val="21"/>
        </w:rPr>
        <w:t>&gt; A brief conversation in the back office, mostly logistics.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Saoirse Inverness, MD, Granite Bay Epilepsy Center, Chattanooga, TN (RSM)</w:t>
      </w:r>
    </w:p>
    <w:p>
      <w:r>
        <w:rPr>
          <w:sz w:val="21"/>
        </w:rPr>
        <w:t>&gt; A clipped meeting at the end of the clinic list, first one this quarter.</w:t>
      </w:r>
    </w:p>
    <w:p>
      <w:r>
        <w:rPr>
          <w:sz w:val="21"/>
        </w:rPr>
        <w:t>&gt; Left it at that, with a call later this month to be scheduled.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Gemma Steinmetz, MD, Vantage Park Regional Epilepsy Program, Chattanooga, TN (RSM)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</w:r>
    </w:p>
    <w:p>
      <w:r>
        <w:rPr>
          <w:b/>
          <w:sz w:val="21"/>
        </w:rPr>
        <w:t>Hamish Marchetti, MD, Riverstone Comprehensive Epilepsy Clinic, Hartford, CT (RSM)</w:t>
      </w:r>
    </w:p>
    <w:p>
      <w:r>
        <w:rPr>
          <w:sz w:val="21"/>
        </w:rPr>
        <w:t>&gt; A fragmented meeting by the scheduling desk, first one this quarter.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Coverage paperwork takes longer than the clinical decision,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Mairead Corliss, MD, Willowmere Neuroscience Center, Hartford, CT (RSM)</w:t>
      </w:r>
    </w:p>
    <w:p>
      <w:r>
        <w:rPr>
          <w:sz w:val="21"/>
        </w:rPr>
        <w:t>&gt; Coverage paperwork remains the slowest step, which came up as a general frustration.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Anouk Brannigan, MD, Windrow Neuroscience Center, Eugene, OR (RSM)</w:t>
      </w:r>
    </w:p>
    <w:p>
      <w:r>
        <w:rPr>
          <w:sz w:val="21"/>
        </w:rPr>
        <w:t>&gt; A rushed meeting by the scheduling desk, first one this quarter.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