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January 15, 2022   |   From: Priya Menon, Dana Cho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Cormac Grierson, MD, Palmetto Neurology Institute, Buffalo, NY (RSM)</w:t>
      </w:r>
    </w:p>
    <w:p>
      <w:r>
        <w:rPr>
          <w:sz w:val="21"/>
        </w:rPr>
        <w:t>&gt; Mentioned a case series someone forwarded but did not raise any specific finding.</w:t>
      </w:r>
    </w:p>
    <w:p>
      <w:r>
        <w:rPr>
          <w:sz w:val="21"/>
        </w:rPr>
        <w:t>&gt; Described how the refractory group is triaged now compared with before.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</w:r>
    </w:p>
    <w:p>
      <w:r>
        <w:rPr>
          <w:b/>
          <w:sz w:val="21"/>
        </w:rPr>
        <w:t>Kenji Dunmore, MD, Windrow Neuroscience Center, Manchester, NH (RSM)</w:t>
      </w:r>
    </w:p>
    <w:p>
      <w:r>
        <w:rPr>
          <w:sz w:val="21"/>
        </w:rPr>
        <w:t>&gt; Closed there — no product discussion.</w:t>
      </w:r>
    </w:p>
    <w:p>
      <w:r>
        <w:rPr>
          <w:sz w:val="21"/>
        </w:rPr>
        <w:t>&gt; The composition of the older half of the panel has shifted over the last year or two.</w:t>
      </w:r>
    </w:p>
    <w:p>
      <w:r>
        <w:rPr>
          <w:sz w:val="21"/>
        </w:rPr>
        <w:t>&gt; The appeals process remains the slowest step, which came up as a general frustration.</w:t>
      </w:r>
    </w:p>
    <w:p>
      <w:r>
        <w:rPr>
          <w:sz w:val="21"/>
        </w:rPr>
      </w:r>
    </w:p>
    <w:p>
      <w:r>
        <w:rPr>
          <w:b/>
          <w:sz w:val="21"/>
        </w:rPr>
        <w:t>Darius Kirkpatrick, MD, Ironwood Neurology Associates, Akron, OH (RSM)</w:t>
      </w:r>
    </w:p>
    <w:p>
      <w:r>
        <w:rPr>
          <w:sz w:val="21"/>
        </w:rPr>
        <w:t>&gt; The new charting templates is still being sorted out, and that took up teh first part of the conversation.</w:t>
      </w:r>
    </w:p>
    <w:p>
      <w:r>
        <w:rPr>
          <w:sz w:val="21"/>
        </w:rPr>
        <w:t>&gt; Referenced a review that circulated on teh service in passing.</w:t>
      </w:r>
    </w:p>
    <w:p>
      <w:r>
        <w:rPr>
          <w:sz w:val="21"/>
        </w:rPr>
        <w:t>&gt; Noted that coverage paperwork has improved somewhat adn that this is not specific to any one product.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  <w:t>&gt; Most of teh discussion was about the referral intake process, which has not settled.</w:t>
      </w:r>
    </w:p>
    <w:p>
      <w:r>
        <w:rPr>
          <w:sz w:val="21"/>
        </w:rPr>
      </w:r>
    </w:p>
    <w:p>
      <w:r>
        <w:rPr>
          <w:b/>
          <w:sz w:val="21"/>
        </w:rPr>
        <w:t>Jaromir Merriwether, MD, Sable Creek Medical Group, Buffalo, NY (RSM)</w:t>
      </w:r>
    </w:p>
    <w:p>
      <w:r>
        <w:rPr>
          <w:sz w:val="21"/>
        </w:rPr>
        <w:t>&gt; Stopped by over a quick coffee for a rushed conversation.</w:t>
      </w:r>
    </w:p>
    <w:p>
      <w:r>
        <w:rPr>
          <w:sz w:val="21"/>
        </w:rPr>
        <w:t>&gt; Asked whether I had seen a session summary from a colleague; I had not, and offered nothing in return.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</w:r>
    </w:p>
    <w:p>
      <w:r>
        <w:rPr>
          <w:b/>
          <w:sz w:val="21"/>
        </w:rPr>
        <w:t>Victor Salas, MD, Hill Country Neuroscience Institute, Austin, TX (RSM)</w:t>
      </w:r>
    </w:p>
    <w:p>
      <w:r>
        <w:rPr>
          <w:sz w:val="21"/>
        </w:rPr>
        <w:t>&gt; Caught a short window in the conference room between patients.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</w:r>
    </w:p>
    <w:p>
      <w:r>
        <w:rPr>
          <w:b/>
          <w:sz w:val="21"/>
        </w:rPr>
        <w:t>Fabian Galbraith, MD, Palmetto Neurology Institute, Akron, OH (RSM)</w:t>
      </w:r>
    </w:p>
    <w:p>
      <w:r>
        <w:rPr>
          <w:sz w:val="21"/>
        </w:rPr>
        <w:t>&gt; An unhurried meeting between clinic blocks, first one this quarter.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Onboarding two medical assistants is the current preoccupation here.</w:t>
      </w:r>
    </w:p>
    <w:p>
      <w:r>
        <w:rPr>
          <w:sz w:val="21"/>
        </w:rPr>
      </w:r>
    </w:p>
    <w:p>
      <w:r>
        <w:rPr>
          <w:b/>
          <w:sz w:val="21"/>
        </w:rPr>
        <w:t>Delphine Dunmore, MD, Windrow Neuroscience Center, Wichita, KS (AR)</w:t>
      </w:r>
    </w:p>
    <w:p>
      <w:r>
        <w:rPr>
          <w:sz w:val="21"/>
        </w:rPr>
        <w:t>&gt; Caught a full window in the back office between patients.</w:t>
      </w:r>
    </w:p>
    <w:p>
      <w:r>
        <w:rPr>
          <w:sz w:val="21"/>
        </w:rPr>
        <w:t>&gt; Left it at that, with the next visit to be scheduled.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</w:r>
    </w:p>
    <w:p>
      <w:r>
        <w:rPr>
          <w:b/>
          <w:sz w:val="21"/>
        </w:rPr>
        <w:t>Wilhelmina Eastmond, MD, Fox Hollow Neurology Partners, Tucson, AZ (RSM)</w:t>
      </w:r>
    </w:p>
    <w:p>
      <w:r>
        <w:rPr>
          <w:sz w:val="21"/>
        </w:rPr>
        <w:t>&gt; The appeals process takes longer than teh clinical decision, which came up as a general frustration.</w:t>
      </w:r>
    </w:p>
    <w:p>
      <w:r>
        <w:rPr>
          <w:sz w:val="21"/>
        </w:rPr>
        <w:t>&gt; Mostly small talk about teh program and the venue.</w:t>
      </w:r>
    </w:p>
    <w:p>
      <w:r>
        <w:rPr>
          <w:sz w:val="21"/>
        </w:rPr>
        <w:t>&gt; Spent some time on teh refractory group and how workup decisions get sequenced.</w:t>
      </w:r>
    </w:p>
    <w:p>
      <w:r>
        <w:rPr>
          <w:sz w:val="21"/>
        </w:rPr>
        <w:t>&gt; Closed there — no materials requested.</w:t>
      </w:r>
    </w:p>
    <w:p>
      <w:r>
        <w:rPr>
          <w:sz w:val="21"/>
        </w:rPr>
      </w:r>
    </w:p>
    <w:p>
      <w:r>
        <w:rPr>
          <w:b/>
          <w:sz w:val="21"/>
        </w:rPr>
        <w:t>Rasmus Galbraith, MD, Marbury Neurological Care Center, Trenton, NJ (RSM)</w:t>
      </w:r>
    </w:p>
    <w:p>
      <w:r>
        <w:rPr>
          <w:sz w:val="21"/>
        </w:rPr>
        <w:t>&gt; Caught a brief window in the back office between patients.</w:t>
      </w:r>
    </w:p>
    <w:p>
      <w:r>
        <w:rPr>
          <w:sz w:val="21"/>
        </w:rPr>
        <w:t>&gt; Mentioned a case series someone forwarded but did not raise any specific finding.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  <w:t>&gt; No product discussion this time. Asked about safety and confirmed nothing to report.</w:t>
      </w:r>
    </w:p>
    <w:p>
      <w:r>
        <w:rPr>
          <w:sz w:val="21"/>
        </w:rPr>
      </w:r>
    </w:p>
    <w:p>
      <w:r>
        <w:rPr>
          <w:b/>
          <w:sz w:val="21"/>
        </w:rPr>
        <w:t>Mateo Zeitler, MD, Northbrook Neurology Institute, Fayetteville, NC (RSM)</w:t>
      </w:r>
    </w:p>
    <w:p>
      <w:r>
        <w:rPr>
          <w:sz w:val="21"/>
        </w:rPr>
        <w:t>&gt; Caught an unhurried window in the reading room between patients.</w:t>
      </w:r>
    </w:p>
    <w:p>
      <w:r>
        <w:rPr>
          <w:sz w:val="21"/>
        </w:rPr>
        <w:t>&gt; Closed there — no product discussion.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Mentioned a review that circulated on the service but did not raise any specific finding.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