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b/>
          <w:sz w:val="21"/>
        </w:rPr>
        <w:t>Field Medical Highlights — XCOPRI (cenobamate)</w:t>
      </w:r>
    </w:p>
    <w:p>
      <w:r>
        <w:rPr>
          <w:sz w:val="21"/>
        </w:rPr>
        <w:t>Date: July 13, 2022   |   From: Dana Cho, Dana Cho</w:t>
      </w:r>
    </w:p>
    <w:p>
      <w:r>
        <w:rPr>
          <w:sz w:val="21"/>
        </w:rPr>
      </w:r>
    </w:p>
    <w:p>
      <w:r>
        <w:rPr>
          <w:b/>
          <w:sz w:val="21"/>
        </w:rPr>
        <w:t>FIELD MEDICAL INSIGHTS</w:t>
      </w:r>
    </w:p>
    <w:p>
      <w:r>
        <w:rPr>
          <w:sz w:val="21"/>
        </w:rPr>
      </w:r>
    </w:p>
    <w:p>
      <w:r>
        <w:rPr>
          <w:b/>
          <w:sz w:val="21"/>
        </w:rPr>
        <w:t>Bettina Wetherby, MD, Ember Lake Medical Group, Omaha, NE (AR)</w:t>
      </w:r>
    </w:p>
    <w:p>
      <w:r>
        <w:rPr>
          <w:sz w:val="21"/>
        </w:rPr>
        <w:t>&gt; An unhurried conversation over a quick coffee, mostly logistics.</w:t>
      </w:r>
    </w:p>
    <w:p>
      <w:r>
        <w:rPr>
          <w:sz w:val="21"/>
        </w:rPr>
        <w:t>&gt; Described the practice as early in its experience here, with nothing to report yet.</w:t>
      </w:r>
    </w:p>
    <w:p>
      <w:r>
        <w:rPr>
          <w:sz w:val="21"/>
        </w:rPr>
        <w:t>&gt; The referral queue looks better than last year since the summer, which shapes how much time there is for anything else.</w:t>
      </w:r>
    </w:p>
    <w:p>
      <w:r>
        <w:rPr>
          <w:sz w:val="21"/>
        </w:rPr>
        <w:t>&gt; Described a preference for slower titration in general, unrelated to any particular patient.</w:t>
      </w:r>
    </w:p>
    <w:p>
      <w:r>
        <w:rPr>
          <w:sz w:val="21"/>
        </w:rPr>
      </w:r>
    </w:p>
    <w:p>
      <w:r>
        <w:rPr>
          <w:b/>
          <w:sz w:val="21"/>
        </w:rPr>
        <w:t>Imani Quintrell, MD, Northgate Neurology Partners, Buffalo, NY (RSM)</w:t>
      </w:r>
    </w:p>
    <w:p>
      <w:r>
        <w:rPr>
          <w:sz w:val="21"/>
        </w:rPr>
        <w:t>&gt; Caught a half-hour window over a quick coffee between patients.</w:t>
      </w:r>
    </w:p>
    <w:p>
      <w:r>
        <w:rPr>
          <w:sz w:val="21"/>
        </w:rPr>
        <w:t>&gt; Talked through the refractory group in general terms, without any specific case.</w:t>
      </w:r>
    </w:p>
    <w:p>
      <w:r>
        <w:rPr>
          <w:sz w:val="21"/>
        </w:rPr>
        <w:t>&gt; This practice is still building familiarity with the product and had no clinical points to raise.</w:t>
      </w:r>
    </w:p>
    <w:p>
      <w:r>
        <w:rPr>
          <w:sz w:val="21"/>
        </w:rPr>
        <w:t>&gt; Closed there — nothing that needed follow-up.</w:t>
      </w:r>
    </w:p>
    <w:p>
      <w:r>
        <w:rPr>
          <w:sz w:val="21"/>
        </w:rPr>
        <w:t>&gt; Coverage paperwork takes longer than the clinical decision, which came up as a general frustration.</w:t>
      </w:r>
    </w:p>
    <w:p>
      <w:r>
        <w:rPr>
          <w:sz w:val="21"/>
        </w:rPr>
      </w:r>
    </w:p>
    <w:p>
      <w:r>
        <w:rPr>
          <w:b/>
          <w:sz w:val="21"/>
        </w:rPr>
        <w:t>Mairead Sandoval-Reyes, MD, Willowmere Neuroscience Center, Chattanooga, TN (RSM)</w:t>
      </w:r>
    </w:p>
    <w:p>
      <w:r>
        <w:rPr>
          <w:sz w:val="21"/>
        </w:rPr>
        <w:t>&gt; Referenced a review that circulated on the service in passing.</w:t>
      </w:r>
    </w:p>
    <w:p>
      <w:r>
        <w:rPr>
          <w:sz w:val="21"/>
        </w:rPr>
        <w:t>&gt; Compared notes on which sessions were worth the time.</w:t>
      </w:r>
    </w:p>
    <w:p>
      <w:r>
        <w:rPr>
          <w:sz w:val="21"/>
        </w:rPr>
        <w:t>&gt; Most of the discussion was about the scheduling system, which changed again last month.</w:t>
      </w:r>
    </w:p>
    <w:p>
      <w:r>
        <w:rPr>
          <w:sz w:val="21"/>
        </w:rPr>
      </w:r>
    </w:p>
    <w:p>
      <w:r>
        <w:rPr>
          <w:b/>
          <w:sz w:val="21"/>
        </w:rPr>
        <w:t>Niamh Inverness, MD, Kestrel Comprehensive Epilepsy Clinic, Worcester, MA (RSM)</w:t>
      </w:r>
    </w:p>
    <w:p>
      <w:r>
        <w:rPr>
          <w:sz w:val="21"/>
        </w:rPr>
        <w:t>&gt; An unexpectedly long meeting in the reading room, first one this quarter.</w:t>
      </w:r>
    </w:p>
    <w:p>
      <w:r>
        <w:rPr>
          <w:sz w:val="21"/>
        </w:rPr>
        <w:t>&gt; The referral queue keeps slipping since the summer, which shapes how much time there is for anything else.</w:t>
      </w:r>
    </w:p>
    <w:p>
      <w:r>
        <w:rPr>
          <w:sz w:val="21"/>
        </w:rPr>
        <w:t>&gt; Most of the discussion was about the phone triage line, which is being piloted this quarter.</w:t>
      </w:r>
    </w:p>
    <w:p>
      <w:r>
        <w:rPr>
          <w:sz w:val="21"/>
        </w:rPr>
        <w:t>&gt; Referral patterns into this clinic have changed, and the refractory group is a bigger share than it was.</w:t>
      </w:r>
    </w:p>
    <w:p>
      <w:r>
        <w:rPr>
          <w:sz w:val="21"/>
        </w:rPr>
      </w:r>
    </w:p>
    <w:p>
      <w:r>
        <w:rPr>
          <w:b/>
          <w:sz w:val="21"/>
        </w:rPr>
        <w:t>Rohan Ravenscroft, MD, Fox Hollow Neurology Partners, Omaha, NE (RSM)</w:t>
      </w:r>
    </w:p>
    <w:p>
      <w:r>
        <w:rPr>
          <w:sz w:val="21"/>
        </w:rPr>
        <w:t>&gt; A short conversation in the reading room, mostly logistics.</w:t>
      </w:r>
    </w:p>
    <w:p>
      <w:r>
        <w:rPr>
          <w:sz w:val="21"/>
        </w:rPr>
        <w:t>&gt; Onboarding one of the nurse practitioners is the current preoccupation here.</w:t>
      </w:r>
    </w:p>
    <w:p>
      <w:r>
        <w:rPr>
          <w:sz w:val="21"/>
        </w:rPr>
        <w:t>&gt; Described the practice as early in its experience here, with nothing to report yet.</w:t>
      </w:r>
    </w:p>
    <w:p>
      <w:r>
        <w:rPr>
          <w:sz w:val="21"/>
        </w:rPr>
      </w:r>
    </w:p>
    <w:p>
      <w:r>
        <w:rPr>
          <w:b/>
          <w:sz w:val="21"/>
        </w:rPr>
        <w:t>Fabian Lammermoor, MD, Juniper Flats Neurology Partners, Charleston, SC (RSM)</w:t>
      </w:r>
    </w:p>
    <w:p>
      <w:r>
        <w:rPr>
          <w:sz w:val="21"/>
        </w:rPr>
        <w:t>&gt; A brief visit over a quick coffee; the schedule was tight.</w:t>
      </w:r>
    </w:p>
    <w:p>
      <w:r>
        <w:rPr>
          <w:sz w:val="21"/>
        </w:rPr>
        <w:t>&gt; Compared notes on which sessions were worth the time.</w:t>
      </w:r>
    </w:p>
    <w:p>
      <w:r>
        <w:rPr>
          <w:sz w:val="21"/>
        </w:rPr>
        <w:t>&gt; Titration habits came up in general terms; no specifics were discussed and none were offered.</w:t>
      </w:r>
    </w:p>
    <w:p>
      <w:r>
        <w:rPr>
          <w:sz w:val="21"/>
        </w:rPr>
      </w:r>
    </w:p>
    <w:p>
      <w:r>
        <w:rPr>
          <w:b/>
          <w:sz w:val="21"/>
        </w:rPr>
        <w:t>Pallavi Wainwright, MD, Bluestem Comprehensive Epilepsy Clinic, Savannah, GA (RSM)</w:t>
      </w:r>
    </w:p>
    <w:p>
      <w:r>
        <w:rPr>
          <w:sz w:val="21"/>
        </w:rPr>
        <w:t>&gt; Mentioned a review that circulated on the service but did not raise any specific finding.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  <w:t>&gt; The composition of the surgical workup list has shifted over the last year or two.</w:t>
      </w:r>
    </w:p>
    <w:p>
      <w:r>
        <w:rPr>
          <w:sz w:val="21"/>
        </w:rPr>
      </w:r>
    </w:p>
    <w:p>
      <w:r>
        <w:rPr>
          <w:b/>
          <w:sz w:val="21"/>
        </w:rPr>
        <w:t>Walter Brandt, MD, Flint Hills Neuroscience, Wichita, KS (AR)</w:t>
      </w:r>
    </w:p>
    <w:p>
      <w:r>
        <w:rPr>
          <w:sz w:val="21"/>
        </w:rPr>
        <w:t>&gt; Agreed to reconnect at the following quarter; nothing actionable this visit.</w:t>
      </w:r>
    </w:p>
    <w:p>
      <w:r>
        <w:rPr>
          <w:sz w:val="21"/>
        </w:rPr>
        <w:t>&gt; This practice is still building familiarity with the product and had no clinical points to raise.</w:t>
      </w:r>
    </w:p>
    <w:p>
      <w:r>
        <w:rPr>
          <w:sz w:val="21"/>
        </w:rPr>
        <w:t>&gt; Titration scheduling is handled by nursing staff, which the practice finds workable.</w:t>
      </w:r>
    </w:p>
    <w:p>
      <w:r>
        <w:rPr>
          <w:sz w:val="21"/>
        </w:rPr>
        <w:t>&gt; Mostly small talk about the program and the venue.</w:t>
      </w:r>
    </w:p>
    <w:p>
      <w:r>
        <w:rPr>
          <w:sz w:val="21"/>
        </w:rPr>
      </w:r>
    </w:p>
    <w:p>
      <w:r>
        <w:rPr>
          <w:b/>
          <w:sz w:val="21"/>
        </w:rPr>
        <w:t>Eloise Thackeray, MD, Alder Point Neurology Associates, Oakland, CA (RSM)</w:t>
      </w:r>
    </w:p>
    <w:p>
      <w:r>
        <w:rPr>
          <w:sz w:val="21"/>
        </w:rPr>
        <w:t>&gt; Coverage paperwork is handled by one person here, which came up as a general frustration.</w:t>
      </w:r>
    </w:p>
    <w:p>
      <w:r>
        <w:rPr>
          <w:sz w:val="21"/>
        </w:rPr>
        <w:t>&gt; Agreed to reconnect at the next visit; no product discussion.</w:t>
      </w:r>
    </w:p>
    <w:p>
      <w:r>
        <w:rPr>
          <w:sz w:val="21"/>
        </w:rPr>
        <w:t>&gt; The composition of the refractory group has shifted over the last year or two.</w:t>
      </w:r>
    </w:p>
    <w:p>
      <w:r>
        <w:rPr>
          <w:sz w:val="21"/>
        </w:rPr>
        <w:t>&gt; The practice lost a rotating resident and has not backfilled, so routine follow-up slots keeps slipping.</w:t>
      </w:r>
    </w:p>
    <w:p>
      <w:r>
        <w:rPr>
          <w:sz w:val="21"/>
        </w:rPr>
      </w:r>
    </w:p>
    <w:p>
      <w:r>
        <w:rPr>
          <w:b/>
          <w:sz w:val="21"/>
        </w:rPr>
        <w:t>Odalys Corliss, MD, Ironwood Neurology Associates, Syracuse, NY (RSM)</w:t>
      </w:r>
    </w:p>
    <w:p>
      <w:r>
        <w:rPr>
          <w:sz w:val="21"/>
        </w:rPr>
        <w:t>&gt; A brief conversation by the scheduling desk, mostly logistics.</w:t>
      </w:r>
    </w:p>
    <w:p>
      <w:r>
        <w:rPr>
          <w:sz w:val="21"/>
        </w:rPr>
        <w:t>&gt; Asked about my travel schedule, since visits keep landing on the busiest clinic days.</w:t>
      </w:r>
    </w:p>
    <w:p>
      <w:r>
        <w:rPr>
          <w:sz w:val="21"/>
        </w:rPr>
        <w:t>&gt; Benefit verification is the step that most often delays a start here.</w:t>
      </w:r>
    </w:p>
    <w:p>
      <w:r>
        <w:rPr>
          <w:sz w:val="21"/>
        </w:rPr>
        <w:t>&gt; Formulary placement was the only product-adjacent topic, and only in general terms.</w:t>
      </w:r>
    </w:p>
    <w:p>
      <w:r>
        <w:rPr>
          <w:sz w:val="21"/>
        </w:rPr>
      </w:r>
    </w:p>
    <w:p>
      <w:r>
        <w:rPr>
          <w:b/>
          <w:sz w:val="21"/>
        </w:rPr>
        <w:t>Zubin Castellane, MD, Marbury Neurological Care Center, Omaha, NE (RSM)</w:t>
      </w:r>
    </w:p>
    <w:p>
      <w:r>
        <w:rPr>
          <w:sz w:val="21"/>
        </w:rPr>
        <w:t>&gt; A fragmented meeting in the reading room, first one this quarter.</w:t>
      </w:r>
    </w:p>
    <w:p>
      <w:r>
        <w:rPr>
          <w:sz w:val="21"/>
        </w:rPr>
        <w:t>&gt; Asked whether I would be at the meeting later this year.</w:t>
      </w:r>
    </w:p>
    <w:p>
      <w:r>
        <w:rPr>
          <w:sz w:val="21"/>
        </w:rPr>
        <w:t>&gt; Described the practice as early in its experience here, with nothing to report yet.</w:t>
      </w:r>
    </w:p>
    <w:p>
      <w:r>
        <w:rPr>
          <w:sz w:val="21"/>
        </w:rPr>
        <w:t>&gt; Left it at that, with the next visit to be scheduled.</w:t>
      </w:r>
    </w:p>
    <w:p>
      <w:r>
        <w:rPr>
          <w:sz w:val="21"/>
        </w:rPr>
        <w:t>&gt; Asked whether I had seen a session summary from a colleague; I had not, and offered nothing in return.</w:t>
      </w:r>
    </w:p>
    <w:p>
      <w:r>
        <w:rPr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