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March 14, 2023   |   From: Ingrid Halvorsen, Rachel Suh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Fabian Pemberton, MD, Lakeshore Neurological Care Center, Buffalo, NY (RSM)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Most of the discussion was about the new charting templates, which changed again last month.</w:t>
      </w:r>
    </w:p>
    <w:p>
      <w:r>
        <w:rPr>
          <w:sz w:val="21"/>
        </w:rPr>
        <w:t>&gt; Referral patterns into this clinic have changed, and the surgical workup list is a bigger share than it was.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</w:r>
    </w:p>
    <w:p>
      <w:r>
        <w:rPr>
          <w:b/>
          <w:sz w:val="21"/>
        </w:rPr>
        <w:t>Rasmus Cavanaugh, MD, Bayview Health Neurology, Boise, ID (RSM)</w:t>
      </w:r>
    </w:p>
    <w:p>
      <w:r>
        <w:rPr>
          <w:sz w:val="21"/>
        </w:rPr>
        <w:t>&gt; The prior-authorization workflow has not settled, and that took up the first part of the conversation.</w:t>
      </w:r>
    </w:p>
    <w:p>
      <w:r>
        <w:rPr>
          <w:sz w:val="21"/>
        </w:rPr>
        <w:t>&gt; The composition of the pediatric-to-adult transfers has shifted over the last year or two.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No materials requested. Safety items asked about and confirmed none.</w:t>
      </w:r>
    </w:p>
    <w:p>
      <w:r>
        <w:rPr>
          <w:sz w:val="21"/>
        </w:rPr>
        <w:t>&gt; Referenced a session summary from a colleague in passing.</w:t>
      </w:r>
    </w:p>
    <w:p>
      <w:r>
        <w:rPr>
          <w:sz w:val="21"/>
        </w:rPr>
      </w:r>
    </w:p>
    <w:p>
      <w:r>
        <w:rPr>
          <w:b/>
          <w:sz w:val="21"/>
        </w:rPr>
        <w:t>Lukas Stanhope, MD, Highmoor Health Neurology, Shreveport, LA (AR)</w:t>
      </w:r>
    </w:p>
    <w:p>
      <w:r>
        <w:rPr>
          <w:sz w:val="21"/>
        </w:rPr>
        <w:t>&gt; An unexpectedly long visit over a quick coffee; teh schedule was tight.</w:t>
      </w:r>
    </w:p>
    <w:p>
      <w:r>
        <w:rPr>
          <w:sz w:val="21"/>
        </w:rPr>
        <w:t>&gt; No materials requested this time. Asked about safety adn confirmed nothing to report.</w:t>
      </w:r>
    </w:p>
    <w:p>
      <w:r>
        <w:rPr>
          <w:sz w:val="21"/>
        </w:rPr>
        <w:t>&gt; Asked about my travel schedule, since visits keep landing on teh busiest clinic days.</w:t>
      </w:r>
    </w:p>
    <w:p>
      <w:r>
        <w:rPr>
          <w:sz w:val="21"/>
        </w:rPr>
        <w:t>&gt; Described how long-standing patients is triaged now compared wtih before.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</w:r>
    </w:p>
    <w:p>
      <w:r>
        <w:rPr>
          <w:b/>
          <w:sz w:val="21"/>
        </w:rPr>
        <w:t>Gaspar Yoshimura, MD, Vantage Park Regional Epilepsy Program, Bakersfield, CA (RSM)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Asked whether I had seen a review that circulated on the service; I had not, and offered nothing in return.</w:t>
      </w:r>
    </w:p>
    <w:p>
      <w:r>
        <w:rPr>
          <w:sz w:val="21"/>
        </w:rPr>
        <w:t>&gt; Onboarding two medical assistants is the current preoccupation here.</w:t>
      </w:r>
    </w:p>
    <w:p>
      <w:r>
        <w:rPr>
          <w:sz w:val="21"/>
        </w:rPr>
      </w:r>
    </w:p>
    <w:p>
      <w:r>
        <w:rPr>
          <w:b/>
          <w:sz w:val="21"/>
        </w:rPr>
        <w:t>Quentin Hollingsworth, MD, Ember Lake Medical Group, Tucson, AZ (RSM)</w:t>
      </w:r>
    </w:p>
    <w:p>
      <w:r>
        <w:rPr>
          <w:sz w:val="21"/>
        </w:rPr>
        <w:t>&gt; A clipped meeting in the reading room, first one this quarter.</w:t>
      </w:r>
    </w:p>
    <w:p>
      <w:r>
        <w:rPr>
          <w:sz w:val="21"/>
        </w:rPr>
        <w:t>&gt; Talked through newly referred patients in general terms, without any specific case.</w:t>
      </w:r>
    </w:p>
    <w:p>
      <w:r>
        <w:rPr>
          <w:sz w:val="21"/>
        </w:rPr>
        <w:t>&gt; Closed there — nothing that needed follow-up.</w:t>
      </w:r>
    </w:p>
    <w:p>
      <w:r>
        <w:rPr>
          <w:sz w:val="21"/>
        </w:rPr>
        <w:t>&gt; Routine follow-up slots looks better than last year since the summer, which shapes how much time there is for anything else.</w:t>
      </w:r>
    </w:p>
    <w:p>
      <w:r>
        <w:rPr>
          <w:sz w:val="21"/>
        </w:rPr>
      </w:r>
    </w:p>
    <w:p>
      <w:r>
        <w:rPr>
          <w:b/>
          <w:sz w:val="21"/>
        </w:rPr>
        <w:t>Tobias Adeyemi-Cole, MD, Windrow Neuroscience Center, Portland, ME (RSM)</w:t>
      </w:r>
    </w:p>
    <w:p>
      <w:r>
        <w:rPr>
          <w:sz w:val="21"/>
        </w:rPr>
        <w:t>&gt; Closed there — no specific request.</w:t>
      </w:r>
    </w:p>
    <w:p>
      <w:r>
        <w:rPr>
          <w:sz w:val="21"/>
        </w:rPr>
        <w:t>&gt; Onboarding one of the nurse practitioners is the current preoccupation here.</w:t>
      </w:r>
    </w:p>
    <w:p>
      <w:r>
        <w:rPr>
          <w:sz w:val="21"/>
        </w:rPr>
        <w:t>&gt; Described how long-standing patients is triaged now compared with before.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</w:r>
    </w:p>
    <w:p>
      <w:r>
        <w:rPr>
          <w:b/>
          <w:sz w:val="21"/>
        </w:rPr>
        <w:t>Felicity Wycliffe, MD, Harborlight Epilepsy Center, Manchester, NH (RSM)</w:t>
      </w:r>
    </w:p>
    <w:p>
      <w:r>
        <w:rPr>
          <w:sz w:val="21"/>
        </w:rPr>
        <w:t>&gt; Noted that formulary questions remains the slowest step and that this is not specific to any one product.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Clinic throughput has stretched out since the summer, which shapes how much time there is for anything else.</w:t>
      </w:r>
    </w:p>
    <w:p>
      <w:r>
        <w:rPr>
          <w:sz w:val="21"/>
        </w:rPr>
        <w:t>&gt; The practice lost a rotating resident and has not backfilled, so the new-patient backlog is slowly recovering.</w:t>
      </w:r>
    </w:p>
    <w:p>
      <w:r>
        <w:rPr>
          <w:sz w:val="21"/>
        </w:rPr>
        <w:t>&gt; Referenced a session summary from a colleague in passing.</w:t>
      </w:r>
    </w:p>
    <w:p>
      <w:r>
        <w:rPr>
          <w:sz w:val="21"/>
        </w:rPr>
      </w:r>
    </w:p>
    <w:p>
      <w:r>
        <w:rPr>
          <w:b/>
          <w:sz w:val="21"/>
        </w:rPr>
        <w:t>Leonie Nakagawa, MD, Ironwood Neurology Associates, Fort Wayne, IN (RSM)</w:t>
      </w:r>
    </w:p>
    <w:p>
      <w:r>
        <w:rPr>
          <w:sz w:val="21"/>
        </w:rPr>
        <w:t>&gt; An unhurried conversation in the workroom, mostly logistics.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Routine follow-up slots has stretched out since the summer, which shapes how much time there is for anything else.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</w:r>
    </w:p>
    <w:p>
      <w:r>
        <w:rPr>
          <w:b/>
          <w:sz w:val="21"/>
        </w:rPr>
        <w:t>Valentina Kettleborn, MD, Juniper Flats Neurology Partners, Charleston, SC (RSM)</w:t>
      </w:r>
    </w:p>
    <w:p>
      <w:r>
        <w:rPr>
          <w:sz w:val="21"/>
        </w:rPr>
        <w:t>&gt; Spent some time on newly referred patients and how workup decisions get sequenced.</w:t>
      </w:r>
    </w:p>
    <w:p>
      <w:r>
        <w:rPr>
          <w:sz w:val="21"/>
        </w:rPr>
        <w:t>&gt; Onboarding a rotating resident is the current preoccupation here.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Most of the discussion was about the prior-authorization workflow, which went live without much warning.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