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August 17, 2023   |   MSL: Ravi Chandrasek</w:t>
      </w:r>
    </w:p>
    <w:p>
      <w:r>
        <w:rPr>
          <w:b/>
          <w:sz w:val="21"/>
        </w:rPr>
        <w:t>HCP: Yannick Harkness, MD, Granite Bay Epilepsy Center, Hartford, CT (RSM)</w:t>
      </w:r>
    </w:p>
    <w:p>
      <w:r>
        <w:rPr>
          <w:sz w:val="21"/>
        </w:rPr>
      </w:r>
    </w:p>
    <w:p>
      <w:r>
        <w:rPr>
          <w:sz w:val="21"/>
        </w:rPr>
        <w:t>Caught a fragmented window at the end of the clinic list between patients.</w:t>
      </w:r>
    </w:p>
    <w:p>
      <w:r>
        <w:rPr>
          <w:sz w:val="21"/>
        </w:rPr>
      </w:r>
    </w:p>
    <w:p>
      <w:r>
        <w:rPr>
          <w:sz w:val="21"/>
        </w:rPr>
        <w:t>Agreed to reconnect at a follow-up appointment; nothing that needed follow-up.</w:t>
      </w:r>
    </w:p>
    <w:p>
      <w:r>
        <w:rPr>
          <w:sz w:val="21"/>
        </w:rPr>
      </w:r>
    </w:p>
    <w:p>
      <w:r>
        <w:rPr>
          <w:sz w:val="21"/>
        </w:rPr>
        <w:t>Titration scheduling is handled by nursing staff, which the practice finds workable.</w:t>
      </w:r>
    </w:p>
    <w:p>
      <w:r>
        <w:rPr>
          <w:sz w:val="21"/>
        </w:rPr>
      </w:r>
    </w:p>
    <w:p>
      <w:r>
        <w:rPr>
          <w:sz w:val="21"/>
        </w:rPr>
        <w:t>Mostly small talk about the program and the venue.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