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sz w:val="21"/>
        </w:rPr>
        <w:t>Interaction Note   |   Date: November 2, 2023   |   MSL: Ravi Chandrasek</w:t>
      </w:r>
    </w:p>
    <w:p>
      <w:r>
        <w:rPr>
          <w:b/>
          <w:sz w:val="21"/>
        </w:rPr>
        <w:t>HCP: Arvind Pemberton, MD, Saltmarsh Neurological Care Center, Madison, WI (AR)</w:t>
      </w:r>
    </w:p>
    <w:p>
      <w:r>
        <w:rPr>
          <w:sz w:val="21"/>
        </w:rPr>
      </w:r>
    </w:p>
    <w:p>
      <w:r>
        <w:rPr>
          <w:sz w:val="21"/>
        </w:rPr>
        <w:t>Monitoring intervals during titration are set by clinic routine here rather than by protocol.</w:t>
      </w:r>
    </w:p>
    <w:p>
      <w:r>
        <w:rPr>
          <w:sz w:val="21"/>
        </w:rPr>
      </w:r>
    </w:p>
    <w:p>
      <w:r>
        <w:rPr>
          <w:sz w:val="21"/>
        </w:rPr>
        <w:t>Left it at that, with a follow-up appointment to be scheduled.</w:t>
      </w:r>
    </w:p>
    <w:p>
      <w:r>
        <w:rPr>
          <w:sz w:val="21"/>
        </w:rPr>
      </w:r>
    </w:p>
    <w:p>
      <w:r>
        <w:rPr>
          <w:sz w:val="21"/>
        </w:rPr>
        <w:t>Referral patterns into this clinic have changed, and the older half of the panel is a bigger share than it was.</w:t>
      </w:r>
    </w:p>
    <w:p>
      <w:r>
        <w:rPr>
          <w:sz w:val="21"/>
        </w:rPr>
      </w:r>
    </w:p>
    <w:p>
      <w:r>
        <w:rPr>
          <w:sz w:val="21"/>
        </w:rPr>
        <w:t>Talked through the surgical workup list in general terms, without any specific case.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