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February 12, 2024   |   From: Ravi Chandrasek, Ravi Chandrasek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Anouk Oyelaran, MD, Marbury Neurological Care Center, Des Moines, IA (RSM)</w:t>
      </w:r>
    </w:p>
    <w:p>
      <w:r>
        <w:rPr>
          <w:sz w:val="21"/>
        </w:rPr>
        <w:t>&gt; An unexpectedly long meeting between clinic blocks, first one this quarter.</w:t>
      </w:r>
    </w:p>
    <w:p>
      <w:r>
        <w:rPr>
          <w:sz w:val="21"/>
        </w:rPr>
        <w:t>&gt; Nothing actionable this visit this time. Asked about safety and confirmed nothing to report.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Renee Calloway, MD, Palmetto Neurology Associates, Charleston, SC (RSM)</w:t>
      </w:r>
    </w:p>
    <w:p>
      <w:r>
        <w:rPr>
          <w:sz w:val="21"/>
        </w:rPr>
        <w:t>&gt; Caught a brief window by the scheduling desk between patients.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The practice lost a front-desk coordinator and has not backfilled, so routine follow-up slots keeps slipping.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Dagmar Lindenmuth, MD, Alder Point Neurology Associates, Charleston, SC (AR)</w:t>
      </w:r>
    </w:p>
    <w:p>
      <w:r>
        <w:rPr>
          <w:sz w:val="21"/>
        </w:rPr>
        <w:t>&gt; The practice lost two medical assistants and has not backfilled, so the referral queue keeps slipping.</w:t>
      </w:r>
    </w:p>
    <w:p>
      <w:r>
        <w:rPr>
          <w:sz w:val="21"/>
        </w:rPr>
        <w:t>&gt; Coverage paperwork remains the slowest step, which came up as a general frustration.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Rohan Vasquez-Lund, MD, Ember Lake Medical Group, Omaha, NE (RSM)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  <w:t>&gt; The new-patient backlog is slowly recovering since the summer, which shapes how much time there is for anything else.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Hannah Beaufort, MD, Silver Peak Clinic, Reno, NV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Coverage paperwork has improved somewhat, which came up as a general frustration.</w:t>
      </w:r>
    </w:p>
    <w:p>
      <w:r>
        <w:rPr>
          <w:sz w:val="21"/>
        </w:rPr>
        <w:t>&gt; The practice lost a front-desk coordinator and has not backfilled, so the new-patient backlog looks better than last year.</w:t>
      </w:r>
    </w:p>
    <w:p>
      <w:r>
        <w:rPr>
          <w:sz w:val="21"/>
        </w:rPr>
      </w:r>
    </w:p>
    <w:p>
      <w:r>
        <w:rPr>
          <w:b/>
          <w:sz w:val="21"/>
        </w:rPr>
        <w:t>Saoirse Norrington, MD, Lakeshore Neurological Care Center, Akron, OH (AR)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Clinic throughput keeps slipping since the summer, which shapes how much time there is for anything else.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Tobias Hollingsworth, MD, Copperfield Neurology Institute, Mobile, AL (RSM)</w:t>
      </w:r>
    </w:p>
    <w:p>
      <w:r>
        <w:rPr>
          <w:sz w:val="21"/>
        </w:rPr>
        <w:t>&gt; An unhurried conversation in the workroom, mostly logistics.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</w:r>
    </w:p>
    <w:p>
      <w:r>
        <w:rPr>
          <w:b/>
          <w:sz w:val="21"/>
        </w:rPr>
        <w:t>Silvio Wycliffe, MD, Highmoor Health Neurology, Reno, NV (RSM)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Noted that coverage paperwork has improved somewhat and that this is not specific to any one product.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The practice lost the epilepsy fellow and has not backfilled, so clinic throughput looks better than last year.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Yesenia Kirkpatrick, MD, Cedar Ridge Regional Epilepsy Program, Scranton, PA (AR)</w:t>
      </w:r>
    </w:p>
    <w:p>
      <w:r>
        <w:rPr>
          <w:sz w:val="21"/>
        </w:rPr>
        <w:t>&gt; A brief visit in the reading room; the schedule was tight.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  <w:t>&gt; The composition of the refractory group has shifted over the last year or two.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Jaromir Cavanaugh, MD, Granite Bay Epilepsy Center, Burlington, VT (AR)</w:t>
      </w:r>
    </w:p>
    <w:p>
      <w:r>
        <w:rPr>
          <w:sz w:val="21"/>
        </w:rPr>
        <w:t>&gt; A clipped visit in the corridor; the schedule was tight.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Valentina Lindenmuth, MD, Palmetto Neurology Institute, Waco, TX (RSM)</w:t>
      </w:r>
    </w:p>
    <w:p>
      <w:r>
        <w:rPr>
          <w:sz w:val="21"/>
        </w:rPr>
        <w:t>&gt; An unexpectedly long visit in the reading room; the schedule was tight.</w:t>
      </w:r>
    </w:p>
    <w:p>
      <w:r>
        <w:rPr>
          <w:sz w:val="21"/>
        </w:rPr>
        <w:t>&gt; Described how the older half of the panel is triaged now compared with before.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Eloise Cavanaugh, MD, Marbury Neurological Care Center, Trenton, NJ (RSM)</w:t>
      </w:r>
    </w:p>
    <w:p>
      <w:r>
        <w:rPr>
          <w:sz w:val="21"/>
        </w:rPr>
        <w:t>&gt; Stopped by in the shared office for a compressed conversation.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Cormac Grierson, MD, Palmetto Neurology Institute, Buffalo, NY (RSM)</w:t>
      </w:r>
    </w:p>
    <w:p>
      <w:r>
        <w:rPr>
          <w:sz w:val="21"/>
        </w:rPr>
        <w:t>&gt; A full meeting between clinic blocks, first one this quarter.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