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October 17, 2024   |   MSL: Sam Becker</w:t>
      </w:r>
    </w:p>
    <w:p>
      <w:r>
        <w:rPr>
          <w:b/>
          <w:sz w:val="21"/>
        </w:rPr>
        <w:t>HCP: Anjali Zabriskie, MD, Harborlight Epilepsy Center, Missoula, MT (AR)</w:t>
      </w:r>
    </w:p>
    <w:p>
      <w:r>
        <w:rPr>
          <w:sz w:val="21"/>
        </w:rPr>
      </w:r>
    </w:p>
    <w:p>
      <w:r>
        <w:rPr>
          <w:sz w:val="21"/>
        </w:rPr>
        <w:t>Caught a short window in the shared office between patients.</w:t>
      </w:r>
    </w:p>
    <w:p>
      <w:r>
        <w:rPr>
          <w:sz w:val="21"/>
        </w:rPr>
      </w:r>
    </w:p>
    <w:p>
      <w:r>
        <w:rPr>
          <w:sz w:val="21"/>
        </w:rPr>
        <w:t>Coverage paperwork takes longer than the clinical decision, which came up as a general frustration.</w:t>
      </w:r>
    </w:p>
    <w:p>
      <w:r>
        <w:rPr>
          <w:sz w:val="21"/>
        </w:rPr>
      </w:r>
    </w:p>
    <w:p>
      <w:r>
        <w:rPr>
          <w:sz w:val="21"/>
        </w:rPr>
        <w:t>The referral queue has stretched out since the summer, which shapes how much time there is for anything else.</w:t>
      </w:r>
    </w:p>
    <w:p>
      <w:r>
        <w:rPr>
          <w:sz w:val="21"/>
        </w:rPr>
      </w:r>
    </w:p>
    <w:p>
      <w:r>
        <w:rPr>
          <w:sz w:val="21"/>
        </w:rPr>
        <w:t>Referral patterns into this clinic have changed, and newly referred patients is a bigger share than it was.</w:t>
      </w:r>
    </w:p>
    <w:p>
      <w:r>
        <w:rPr>
          <w:sz w:val="21"/>
        </w:rPr>
      </w:r>
    </w:p>
    <w:p>
      <w:r>
        <w:rPr>
          <w:sz w:val="21"/>
        </w:rPr>
        <w:t>Asked whether I would be at the meeting later this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