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March 20, 2025   |   MSL: Yuki Tanabe</w:t>
      </w:r>
    </w:p>
    <w:p>
      <w:r>
        <w:rPr>
          <w:b/>
          <w:sz w:val="21"/>
        </w:rPr>
        <w:t>HCP: Ulrike Wetherby, MD, Juniper Flats Neurology Partners, Fayetteville, NC (RSM)</w:t>
      </w:r>
    </w:p>
    <w:p>
      <w:r>
        <w:rPr>
          <w:sz w:val="21"/>
        </w:rPr>
      </w:r>
    </w:p>
    <w:p>
      <w:r>
        <w:rPr>
          <w:sz w:val="21"/>
        </w:rPr>
        <w:t>Spent some time on the refractory group and how workup decisions get sequenced.</w:t>
      </w:r>
    </w:p>
    <w:p>
      <w:r>
        <w:rPr>
          <w:sz w:val="21"/>
        </w:rPr>
      </w:r>
    </w:p>
    <w:p>
      <w:r>
        <w:rPr>
          <w:sz w:val="21"/>
        </w:rPr>
        <w:t>Onboarding two medical assistants is the current preoccupation here.</w:t>
      </w:r>
    </w:p>
    <w:p>
      <w:r>
        <w:rPr>
          <w:sz w:val="21"/>
        </w:rPr>
      </w:r>
    </w:p>
    <w:p>
      <w:r>
        <w:rPr>
          <w:sz w:val="21"/>
        </w:rPr>
        <w:t>Benefit verification is the step that most often delays a start here.</w:t>
      </w:r>
    </w:p>
    <w:p>
      <w:r>
        <w:rPr>
          <w:sz w:val="21"/>
        </w:rPr>
      </w:r>
    </w:p>
    <w:p>
      <w:r>
        <w:rPr>
          <w:sz w:val="21"/>
        </w:rPr>
        <w:t>The travel schedule this year came up, and little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