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April 14, 2025   |   From: Sunny Okafor, Nadia Belhadj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Pallavi Vasquez-Lund, MD, Northbrook Neurology Institute, Fayetteville, NC (RSM)</w:t>
      </w:r>
    </w:p>
    <w:p>
      <w:r>
        <w:rPr>
          <w:sz w:val="21"/>
        </w:rPr>
        <w:t>&gt; Stopped by at the nurses' station for an unhurried conversation.</w:t>
      </w:r>
    </w:p>
    <w:p>
      <w:r>
        <w:rPr>
          <w:sz w:val="21"/>
        </w:rPr>
        <w:t>&gt; Spent some time on the surgical workup list and how workup decisions get sequenced.</w:t>
      </w:r>
    </w:p>
    <w:p>
      <w:r>
        <w:rPr>
          <w:sz w:val="21"/>
        </w:rPr>
        <w:t>&gt; Most of the discussion was about the patient portal, which is being piloted this quarter.</w:t>
      </w:r>
    </w:p>
    <w:p>
      <w:r>
        <w:rPr>
          <w:sz w:val="21"/>
        </w:rPr>
        <w:t>&gt; The composition of the older half of the panel has shifted over the last year or two.</w:t>
      </w:r>
    </w:p>
    <w:p>
      <w:r>
        <w:rPr>
          <w:sz w:val="21"/>
        </w:rPr>
        <w:t>&gt; Noted that the appeals process varies by payer and that this is not specific to any one product.</w:t>
      </w:r>
    </w:p>
    <w:p>
      <w:r>
        <w:rPr>
          <w:sz w:val="21"/>
        </w:rPr>
      </w:r>
    </w:p>
    <w:p>
      <w:r>
        <w:rPr>
          <w:b/>
          <w:sz w:val="21"/>
        </w:rPr>
        <w:t>Viraj Ashgrove, MD, Ironwood Neurology Associates, Buffalo, NY (RSM)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Closed there — nothing that needed follow-up.</w:t>
      </w:r>
    </w:p>
    <w:p>
      <w:r>
        <w:rPr>
          <w:sz w:val="21"/>
        </w:rPr>
      </w:r>
    </w:p>
    <w:p>
      <w:r>
        <w:rPr>
          <w:b/>
          <w:sz w:val="21"/>
        </w:rPr>
        <w:t>Josefina Dellacroix, MD, Sandhill Neuroscience Center, Little Rock, AR (RSM)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The appeals process has improved somewhat, which came up as a general frustration.</w:t>
      </w:r>
    </w:p>
    <w:p>
      <w:r>
        <w:rPr>
          <w:sz w:val="21"/>
        </w:rPr>
        <w:t>&gt; Spent some time on the surgical workup list and how workup decisions get sequenced.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b/>
          <w:sz w:val="21"/>
        </w:rPr>
        <w:t>Kenji Tavernier, MD, Highmoor Health Neurology, Reno, NV (RSM)</w:t>
      </w:r>
    </w:p>
    <w:p>
      <w:r>
        <w:rPr>
          <w:sz w:val="21"/>
        </w:rPr>
        <w:t>&gt; Titration scheduling is handled by nursing staff, which teh practice finds workable.</w:t>
      </w:r>
    </w:p>
    <w:p>
      <w:r>
        <w:rPr>
          <w:sz w:val="21"/>
        </w:rPr>
        <w:t>&gt; Spent some time on teh pediatric-to-adult transfers and how workup decisions get sequenced.</w:t>
      </w:r>
    </w:p>
    <w:p>
      <w:r>
        <w:rPr>
          <w:sz w:val="21"/>
        </w:rPr>
        <w:t>&gt; The composition of teh refractory group has shifted over the last year or two.</w:t>
      </w:r>
    </w:p>
    <w:p>
      <w:r>
        <w:rPr>
          <w:sz w:val="21"/>
        </w:rPr>
        <w:t>&gt; Mentioned a guideline update discussed at journal club but did not raise any specific finding.</w:t>
      </w:r>
    </w:p>
    <w:p>
      <w:r>
        <w:rPr>
          <w:sz w:val="21"/>
        </w:rPr>
        <w:t>&gt; Closed there — no materials requested.</w:t>
      </w:r>
    </w:p>
    <w:p>
      <w:r>
        <w:rPr>
          <w:sz w:val="21"/>
        </w:rPr>
      </w:r>
    </w:p>
    <w:p>
      <w:r>
        <w:rPr>
          <w:b/>
          <w:sz w:val="21"/>
        </w:rPr>
        <w:t>Thandiwe Brannigan, MD, Saltmarsh Neurological Care Center, Albany, NY (RSM)</w:t>
      </w:r>
    </w:p>
    <w:p>
      <w:r>
        <w:rPr>
          <w:sz w:val="21"/>
        </w:rPr>
        <w:t>&gt; A half-hour visit at the nurses' station; the schedule was tight.</w:t>
      </w:r>
    </w:p>
    <w:p>
      <w:r>
        <w:rPr>
          <w:sz w:val="21"/>
        </w:rPr>
        <w:t>&gt; Referenced a guideline update discussed at journal club in passing.</w:t>
      </w:r>
    </w:p>
    <w:p>
      <w:r>
        <w:rPr>
          <w:sz w:val="21"/>
        </w:rPr>
        <w:t>&gt; Asked what is known about women of childbearing potential as the group with the fewest documented options.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The composition of long-standing patients has shifted over the last year or two.</w:t>
      </w:r>
    </w:p>
    <w:p>
      <w:r>
        <w:rPr>
          <w:sz w:val="21"/>
        </w:rPr>
      </w:r>
    </w:p>
    <w:p>
      <w:r>
        <w:rPr>
          <w:b/>
          <w:sz w:val="21"/>
        </w:rPr>
        <w:t>Leonie Eversholt, MD, Silver Creek Medical Group, Albany, NY (RSM)</w:t>
      </w:r>
    </w:p>
    <w:p>
      <w:r>
        <w:rPr>
          <w:sz w:val="21"/>
        </w:rPr>
        <w:t>&gt; The practice lost the epilepsy fellow and has not backfilled, so the referral queue is slowly recovering.</w:t>
      </w:r>
    </w:p>
    <w:p>
      <w:r>
        <w:rPr>
          <w:sz w:val="21"/>
        </w:rPr>
        <w:t>&gt; Onboarding two medical assistants is the current preoccupation here.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</w:r>
    </w:p>
    <w:p>
      <w:r>
        <w:rPr>
          <w:b/>
          <w:sz w:val="21"/>
        </w:rPr>
        <w:t>Eloise Cavanaugh, MD, Marbury Neurological Care Center, Trenton, NJ (RSM)</w:t>
      </w:r>
    </w:p>
    <w:p>
      <w:r>
        <w:rPr>
          <w:sz w:val="21"/>
        </w:rPr>
        <w:t>&gt; A half-hour meeting over a quick coffee, first one this quarter.</w:t>
      </w:r>
    </w:p>
    <w:p>
      <w:r>
        <w:rPr>
          <w:sz w:val="21"/>
        </w:rPr>
        <w:t>&gt; Mentioned a case series someone forwarded but did not raise any specific finding.</w:t>
      </w:r>
    </w:p>
    <w:p>
      <w:r>
        <w:rPr>
          <w:sz w:val="21"/>
        </w:rPr>
        <w:t>&gt; No product discussion this time. Asked about safety and confirmed nothing to report.</w:t>
      </w:r>
    </w:p>
    <w:p>
      <w:r>
        <w:rPr>
          <w:sz w:val="21"/>
        </w:rPr>
        <w:t>&gt; Onboarding one of the nurse practitioners is the current preoccupation here.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</w:r>
    </w:p>
    <w:p>
      <w:r>
        <w:rPr>
          <w:b/>
          <w:sz w:val="21"/>
        </w:rPr>
        <w:t>Mairead Barrowman, MD, Foxglove Health Neurology, Eugene, OR (RSM)</w:t>
      </w:r>
    </w:p>
    <w:p>
      <w:r>
        <w:rPr>
          <w:sz w:val="21"/>
        </w:rPr>
        <w:t>&gt; Stopped by in the back office for a clipped conversation.</w:t>
      </w:r>
    </w:p>
    <w:p>
      <w:r>
        <w:rPr>
          <w:sz w:val="21"/>
        </w:rPr>
        <w:t>&gt; Closed there — no specific request.</w:t>
      </w:r>
    </w:p>
    <w:p>
      <w:r>
        <w:rPr>
          <w:sz w:val="21"/>
        </w:rPr>
        <w:t>&gt; Referral patterns into this clinic have changed, and the older half of the panel is a bigger share than it was.</w:t>
      </w:r>
    </w:p>
    <w:p>
      <w:r>
        <w:rPr>
          <w:sz w:val="21"/>
        </w:rPr>
        <w:t>&gt; Asked whether I had seen a guideline update discussed at journal club; I had not, and offered nothing in return.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