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January 26, 2026   |   MSL: Colin Ferreira</w:t>
      </w:r>
    </w:p>
    <w:p>
      <w:r>
        <w:rPr>
          <w:b/>
          <w:sz w:val="21"/>
        </w:rPr>
        <w:t>HCP: Ulrike Dellacroix, MD, Silver Creek Medical Group, Allentown, PA (RSM)</w:t>
      </w:r>
    </w:p>
    <w:p>
      <w:r>
        <w:rPr>
          <w:sz w:val="21"/>
        </w:rPr>
      </w:r>
    </w:p>
    <w:p>
      <w:r>
        <w:rPr>
          <w:sz w:val="21"/>
        </w:rPr>
        <w:t>Left it at that, with f/u appt to be scheduled.</w:t>
      </w:r>
    </w:p>
    <w:p>
      <w:r>
        <w:rPr>
          <w:sz w:val="21"/>
        </w:rPr>
      </w:r>
    </w:p>
    <w:p>
      <w:r>
        <w:rPr>
          <w:sz w:val="21"/>
        </w:rPr>
        <w:t>Kept coming back to how often the generalized tonic-clonic group comes up with no approved answer.</w:t>
      </w:r>
    </w:p>
    <w:p>
      <w:r>
        <w:rPr>
          <w:sz w:val="21"/>
        </w:rPr>
      </w:r>
    </w:p>
    <w:p>
      <w:r>
        <w:rPr>
          <w:sz w:val="21"/>
        </w:rPr>
        <w:t>The scheduling system has not settled, and that took up first part of conversation.</w:t>
      </w:r>
    </w:p>
    <w:p>
      <w:r>
        <w:rPr>
          <w:sz w:val="21"/>
        </w:rPr>
      </w:r>
    </w:p>
    <w:p>
      <w:r>
        <w:rPr>
          <w:sz w:val="21"/>
        </w:rPr>
        <w:t>Formulary questions is handled by one person here, which came up as general frustration.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