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25, 2026   |   From: Dana Cho,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Visit on May 19. Discussion limited to volume: the clinic logged about 340 encounters in April against 290 in January, per the practice manager's dashbaord.</w:t>
      </w:r>
    </w:p>
    <w:p>
      <w:r>
        <w:rPr>
          <w:sz w:val="21"/>
        </w:rPr>
        <w:t>&gt; Most of the increase is attributed to two referring internists who joined the network on March 2.</w:t>
      </w:r>
    </w:p>
    <w:p>
      <w:r>
        <w:rPr>
          <w:sz w:val="21"/>
        </w:rPr>
        <w:t>&gt; New-patient slots are booked into the week of July 6; return visits are holding at three weeks.</w:t>
      </w:r>
    </w:p>
    <w:p>
      <w:r>
        <w:rPr>
          <w:sz w:val="21"/>
        </w:rPr>
        <w:t>&gt; Neutral on whether the trend holds past the summer. No clinical or product topics were discussed.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Visit on May 20, about 25 minutes. The conversation stayed at the level of the antiseizure landscape in general - the observation offered was that the number of available ASMs has roughly doubled since the early 2000s.</w:t>
      </w:r>
    </w:p>
    <w:p>
      <w:r>
        <w:rPr>
          <w:sz w:val="21"/>
        </w:rPr>
        <w:t>&gt; The point was about choice architecture rather than any individual agent: formulary lists, teaching order, and how residents are taught to sequence options.</w:t>
      </w:r>
    </w:p>
    <w:p>
      <w:r>
        <w:rPr>
          <w:sz w:val="21"/>
        </w:rPr>
        <w:t>&gt; No comparative or efficacy statement was made about any product, and I made none; I record the topic only because it frames how this center builds its internal pathways.</w:t>
      </w:r>
    </w:p>
    <w:p>
      <w:r>
        <w:rPr>
          <w:sz w:val="21"/>
        </w:rPr>
        <w:t>&gt; Follow-up set for the week of June 15, at the request of the physician.</w:t>
      </w:r>
    </w:p>
    <w:p>
      <w:r>
        <w:rPr>
          <w:sz w:val="21"/>
        </w:rPr>
      </w:r>
    </w:p>
    <w:p>
      <w:r>
        <w:rPr>
          <w:b/>
          <w:sz w:val="21"/>
        </w:rPr>
        <w:t>Walter Brandt, MD, Flint Hills Neuroscience, Wichita, KS (AR)</w:t>
      </w:r>
    </w:p>
    <w:p>
      <w:r>
        <w:rPr>
          <w:sz w:val="21"/>
        </w:rPr>
        <w:t>&gt; Visit on May 21, 30 minutes, in office between afternoon appts.</w:t>
      </w:r>
    </w:p>
    <w:p>
      <w:r>
        <w:rPr>
          <w:sz w:val="21"/>
        </w:rPr>
        <w:t>&gt; About 40% of the panel is 65 or older by the practice's own estimate, and most of those patients arrive on five or more concomitant medications.</w:t>
      </w:r>
    </w:p>
    <w:p>
      <w:r>
        <w:rPr>
          <w:sz w:val="21"/>
        </w:rPr>
        <w:t>&gt; Triple-checks interactions before considering cenobamate in anyone over 65, which slows the decision down.</w:t>
      </w:r>
    </w:p>
    <w:p>
      <w:r>
        <w:rPr>
          <w:sz w:val="21"/>
        </w:rPr>
        <w:t>&gt; Routine as described: pharmacist review first, then a second pass through the XCOPRI label section on interactions, then a decision at the next visit - usually two to three weeks later.</w:t>
      </w:r>
    </w:p>
    <w:p>
      <w:r>
        <w:rPr>
          <w:sz w:val="21"/>
        </w:rPr>
        <w:t>&gt; Stated plainly that the hesitation is process time rather than any observed event; nothing was reported about a specific patient.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Visit on May 22, brief - 10 minutes at the nurses' station.</w:t>
      </w:r>
    </w:p>
    <w:p>
      <w:r>
        <w:rPr>
          <w:sz w:val="21"/>
        </w:rPr>
        <w:t>&gt; One of the two epilepsy fellows has been out since April 27, so Thursday clinic has been running with a single attending plus a nurse practitioner.</w:t>
      </w:r>
    </w:p>
    <w:p>
      <w:r>
        <w:rPr>
          <w:sz w:val="21"/>
        </w:rPr>
        <w:t>&gt; Consequence given in numbers: new referrals now wait about nine weeks, up from five in February, and the monitoring unit is holding two beds empty for lack of technologists.</w:t>
      </w:r>
    </w:p>
    <w:p>
      <w:r>
        <w:rPr>
          <w:sz w:val="21"/>
        </w:rPr>
        <w:t>&gt; Asked to defer any longer discussion until the fellow returns in July. No clinical topics covered.</w:t>
      </w:r>
    </w:p>
    <w:p>
      <w:r>
        <w:rPr>
          <w:sz w:val="21"/>
        </w:rPr>
      </w:r>
    </w:p>
    <w:p>
      <w:r>
        <w:rPr>
          <w:b/>
          <w:sz w:val="21"/>
        </w:rPr>
        <w:t>Adaeze Vasquez-Lund, MD, Alder Point Neurology Associates, Allentown, PA (RSM)</w:t>
      </w:r>
    </w:p>
    <w:p>
      <w:r>
        <w:rPr>
          <w:sz w:val="21"/>
        </w:rPr>
        <w:t>&gt; A brief meeting in the workroom, first one this quarter.</w:t>
      </w:r>
    </w:p>
    <w:p>
      <w:r>
        <w:rPr>
          <w:sz w:val="21"/>
        </w:rPr>
        <w:t>&gt; Left it at that, with the following quarter to be scheduled.</w:t>
      </w:r>
    </w:p>
    <w:p>
      <w:r>
        <w:rPr>
          <w:sz w:val="21"/>
        </w:rPr>
        <w:t>&gt; Explained that the interaction checks required before starting anyone elderly, which slow the decision down.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Lukas Vasquez-Lund, MD, Windrow Neuroscience Center, Lakeland, FL (RSM)</w:t>
      </w:r>
    </w:p>
    <w:p>
      <w:r>
        <w:rPr>
          <w:sz w:val="21"/>
        </w:rPr>
        <w:t>&gt; The practice lost a front-desk coordinator and has not backfilled, so routine follow-up slots looks better than last year.</w:t>
      </w:r>
    </w:p>
    <w:p>
      <w:r>
        <w:rPr>
          <w:sz w:val="21"/>
        </w:rPr>
        <w:t>&gt; Asked that internal teams hear about the frustration of having a well-tolerated option that the generalized population cannot access.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</w:r>
    </w:p>
    <w:p>
      <w:r>
        <w:rPr>
          <w:b/>
          <w:sz w:val="21"/>
        </w:rPr>
        <w:t>Sonali Corliss, MD, Lakeshore Neurological Care Center, Akron, OH (RSM)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Noted a group of primary generalized patients with nothing comparable to offer.</w:t>
      </w:r>
    </w:p>
    <w:p>
      <w:r>
        <w:rPr>
          <w:sz w:val="21"/>
        </w:rPr>
      </w:r>
    </w:p>
    <w:p>
      <w:r>
        <w:rPr>
          <w:b/>
          <w:sz w:val="21"/>
        </w:rPr>
        <w:t>Eloise Cavanaugh, MD, Marbury Neurological Care Center, Trenton, NJ (RSM)</w:t>
      </w:r>
    </w:p>
    <w:p>
      <w:r>
        <w:rPr>
          <w:sz w:val="21"/>
        </w:rPr>
        <w:t>&gt; Most of the discussion was about the phone triage line, which is still being sorted out.</w:t>
      </w:r>
    </w:p>
    <w:p>
      <w:r>
        <w:rPr>
          <w:sz w:val="21"/>
        </w:rPr>
        <w:t>&gt; Also mentioned one adult reporting daytime somnolence heavy enough to affect the commute.</w:t>
      </w:r>
    </w:p>
    <w:p>
      <w:r>
        <w:rPr>
          <w:sz w:val="21"/>
        </w:rPr>
        <w:t>&gt; The practice lost one of the nurse practitioners and has not backfilled, so the new-patient backlog is slowly recovering.</w:t>
      </w:r>
    </w:p>
    <w:p>
      <w:r>
        <w:rPr>
          <w:sz w:val="21"/>
        </w:rPr>
        <w:t>&gt; Kept returning to referrals of teenagers with drug-resistant seizures arriving faster than the options do.</w:t>
      </w:r>
    </w:p>
    <w:p>
      <w:r>
        <w:rPr>
          <w:sz w:val="21"/>
        </w:rPr>
      </w:r>
    </w:p>
    <w:p>
      <w:r>
        <w:rPr>
          <w:b/>
          <w:sz w:val="21"/>
        </w:rPr>
        <w:t>Arvind Pemberton, MD, Saltmarsh Neurological Care Center, Madison, WI (AR)</w:t>
      </w:r>
    </w:p>
    <w:p>
      <w:r>
        <w:rPr>
          <w:sz w:val="21"/>
        </w:rPr>
        <w:t>&gt; A full visit in the conference room; the schedule was tight.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Raised, without any prompting, how uncomfortable it feels to park adolescent refractory cases until a birthday.</w:t>
      </w:r>
    </w:p>
    <w:p>
      <w:r>
        <w:rPr>
          <w:sz w:val="21"/>
        </w:rPr>
        <w:t>&gt; Raised an adult who stopped unprompted after a week of feeling foggy and unusually sleepy.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The referral queue has stretched out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Kiara Prendergast, MD, Saltmarsh Neurological Care Center, Charleston, SC (AR)</w:t>
      </w:r>
    </w:p>
    <w:p>
      <w:r>
        <w:rPr>
          <w:sz w:val="21"/>
        </w:rPr>
        <w:t>&gt; Caught a twenty-minute window in the reading room between patients.</w:t>
      </w:r>
    </w:p>
    <w:p>
      <w:r>
        <w:rPr>
          <w:sz w:val="21"/>
        </w:rPr>
        <w:t>&gt; Reported a patient with nausea since starting, now under observation.</w:t>
      </w:r>
    </w:p>
    <w:p>
      <w:r>
        <w:rPr>
          <w:sz w:val="21"/>
        </w:rPr>
        <w:t>&gt; Raised, without any prompting, two teenage patients still seizing after multiple medications, with the label closing the door until 18.</w:t>
      </w:r>
    </w:p>
    <w:p>
      <w:r>
        <w:rPr>
          <w:sz w:val="21"/>
        </w:rPr>
        <w:t>&gt; Coverage paperwork varies by payer, which came up as a general frustration.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The prior-authorization workflow changed again last month,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Ulrike Oakhurst, MD, Lakeshore Neurological Care Center, Provo, UT (RSM)</w:t>
      </w:r>
    </w:p>
    <w:p>
      <w:r>
        <w:rPr>
          <w:sz w:val="21"/>
        </w:rPr>
        <w:t>&gt; A productive meeting between clinic blocks, first one this quarter.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Clinic throughput looks better than last year since the summer, which shapes how much time there is for anything else.</w:t>
      </w:r>
    </w:p>
    <w:p>
      <w:r>
        <w:rPr>
          <w:sz w:val="21"/>
        </w:rPr>
        <w:t>&gt; Raised, unprompted, the absence of an approved route for generalized tonic-clonic seizures despite similar refractoriness.</w:t>
      </w:r>
    </w:p>
    <w:p>
      <w:r>
        <w:rPr>
          <w:sz w:val="21"/>
        </w:rPr>
        <w:t>&gt; The practice lost a front-desk coordinator and has not backfilled, so the new-patient backlog is slowly recovering.</w:t>
      </w:r>
    </w:p>
    <w:p>
      <w:r>
        <w:rPr>
          <w:sz w:val="21"/>
        </w:rPr>
      </w:r>
    </w:p>
    <w:p>
      <w:r>
        <w:rPr>
          <w:b/>
          <w:sz w:val="21"/>
        </w:rPr>
        <w:t>Niamh Jarreau, MD, Bluestem Comprehensive Epilepsy Clinic, Portland, ME (RSM)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Said the clearest limitation right now is a group of primary generalized patients with nothing comparable to offer.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Spent some time on the refractory group and how workup decisions get sequenced.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