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September 15, 2025   |   From: Rachel Suh,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Susan Ratliff, MD, Harborlight Neurology, Portland, ME (AR)</w:t>
      </w:r>
    </w:p>
    <w:p>
      <w:r>
        <w:rPr>
          <w:sz w:val="21"/>
        </w:rPr>
        <w:t>&gt; A generous forty minutes despite a full schedule, and most of it spent on the older half of the panel, which is a large share of this practice.</w:t>
      </w:r>
    </w:p>
    <w:p>
      <w:r>
        <w:rPr>
          <w:sz w:val="21"/>
        </w:rPr>
        <w:t>&gt; The main hesitation with elderly patients is drug-drug interactions on top of already long medication lists.</w:t>
      </w:r>
    </w:p>
    <w:p>
      <w:r>
        <w:rPr>
          <w:sz w:val="21"/>
        </w:rPr>
        <w:t>&gt; Explained that the pharmacy review usually happens after the visit rather than during it, so a decision often waits a week, and asked very politely whether anything shorter than the label section exists that intake staff could work from.</w:t>
      </w:r>
    </w:p>
    <w:p>
      <w:r>
        <w:rPr>
          <w:sz w:val="21"/>
        </w:rPr>
        <w:t>&gt; I committed only to checking what may be shared and to bringing it at the next appt.</w:t>
      </w:r>
    </w:p>
    <w:p>
      <w:r>
        <w:rPr>
          <w:sz w:val="21"/>
        </w:rPr>
      </w:r>
    </w:p>
    <w:p>
      <w:r>
        <w:rPr>
          <w:b/>
          <w:sz w:val="21"/>
        </w:rPr>
        <w:t>Daniel Whitcomb, MD, Northbrook Neurology Institute, Albany, NY (RSM)</w:t>
      </w:r>
    </w:p>
    <w:p>
      <w:r>
        <w:rPr>
          <w:sz w:val="21"/>
        </w:rPr>
        <w:t>&gt; The transition-age population came up first, and without any prompting from me.</w:t>
      </w:r>
    </w:p>
    <w:p>
      <w:r>
        <w:rPr>
          <w:sz w:val="21"/>
        </w:rPr>
        <w:t>&gt; Keeps a running list of 15- and 16-year-olds with drug-resistant focal seizures who simply have to wait until 18 before cenobamate is even an option.</w:t>
      </w:r>
    </w:p>
    <w:p>
      <w:r>
        <w:rPr>
          <w:sz w:val="21"/>
        </w:rPr>
        <w:t>&gt; Was careful to frame this as a limit of what is approved rather than a request to work around it, and asked that the observation be carried back internally; I said I would log it as stated.</w:t>
      </w:r>
    </w:p>
    <w:p>
      <w:r>
        <w:rPr>
          <w:sz w:val="21"/>
        </w:rPr>
        <w:t>&gt; Referrals from two regional pediatric practices have increased this year, which is part of why that list keeps growing.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A short conversation in the corridor between teaching sessions, and entirely about the academic calendar.</w:t>
      </w:r>
    </w:p>
    <w:p>
      <w:r>
        <w:rPr>
          <w:sz w:val="21"/>
        </w:rPr>
        <w:t>&gt; Two residents rotate onto the epilepsy service in October, and the fellowship journal club is moving to a Thursday evening slot so that the trainees on nights can still attend.</w:t>
      </w:r>
    </w:p>
    <w:p>
      <w:r>
        <w:rPr>
          <w:sz w:val="21"/>
        </w:rPr>
        <w:t>&gt; Asked whether I had recieved the updated rotation schedule from the program office, which I had not; that one is on me to chase.</w:t>
      </w:r>
    </w:p>
    <w:p>
      <w:r>
        <w:rPr>
          <w:sz w:val="21"/>
        </w:rPr>
        <w:t>&gt; No clinical or product discussion took place and nothing was requested.</w:t>
      </w:r>
    </w:p>
    <w:p>
      <w:r>
        <w:rPr>
          <w:sz w:val="21"/>
        </w:rPr>
      </w:r>
    </w:p>
    <w:p>
      <w:r>
        <w:rPr>
          <w:b/>
          <w:sz w:val="21"/>
        </w:rPr>
        <w:t>Grace Lindqvist, MD, Riverstone Medical Group, Hartford, CT (RSM)</w:t>
      </w:r>
    </w:p>
    <w:p>
      <w:r>
        <w:rPr>
          <w:sz w:val="21"/>
        </w:rPr>
        <w:t>&gt; Fifteen minutes between clinics, which the office kindly made room for at short notice.</w:t>
      </w:r>
    </w:p>
    <w:p>
      <w:r>
        <w:rPr>
          <w:sz w:val="21"/>
        </w:rPr>
        <w:t>&gt; Asked directly whether any adolescent dosing or safety data for cenobamate is on the horizon.</w:t>
      </w:r>
    </w:p>
    <w:p>
      <w:r>
        <w:rPr>
          <w:sz w:val="21"/>
        </w:rPr>
        <w:t>&gt; I explained that I am able to share published information within the approved adult indication for XCOPRI only, and that I would not speculate beyond it; the answer was accepted without pushback.</w:t>
      </w:r>
    </w:p>
    <w:p>
      <w:r>
        <w:rPr>
          <w:sz w:val="21"/>
        </w:rPr>
        <w:t>&gt; Open on my side: confirm with Medical Information what may be sent, and reply before the next visit.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