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Interaction Note   |   Date: October 6, 2025   |   MSL: Tom Alvarez</w:t>
      </w:r>
    </w:p>
    <w:p>
      <w:r>
        <w:rPr>
          <w:b/>
          <w:sz w:val="21"/>
        </w:rPr>
        <w:t>HCP: Daniel Whitcomb, MD, Northbrook Neurology Institute, Albany, NY (RSM)</w:t>
      </w:r>
    </w:p>
    <w:p>
      <w:r>
        <w:rPr>
          <w:sz w:val="21"/>
        </w:rPr>
      </w:r>
    </w:p>
    <w:p>
      <w:r>
        <w:rPr>
          <w:sz w:val="21"/>
        </w:rPr>
        <w:t>Short appt, ~20 min, squeezed between clinic blocks. Pt volume up and one NP out on leave, so sched backlog is running six to eight weeks. That came up first and set the tone.</w:t>
      </w:r>
    </w:p>
    <w:p>
      <w:r>
        <w:rPr>
          <w:sz w:val="21"/>
        </w:rPr>
      </w:r>
    </w:p>
    <w:p>
      <w:r>
        <w:rPr>
          <w:sz w:val="21"/>
        </w:rPr>
        <w:t>Asked what the gaps look like right now in the DRE population. Called the adolescent transition group the single biggest unmet need — drug-resistant focal seizures at 15 or 16, and cenobamate out of reach until 18. Said the same conversation repeats with parents every few months, and that nothing about it has changed since last yaer.</w:t>
      </w:r>
    </w:p>
    <w:p>
      <w:r>
        <w:rPr>
          <w:sz w:val="21"/>
        </w:rPr>
      </w:r>
    </w:p>
    <w:p>
      <w:r>
        <w:rPr>
          <w:sz w:val="21"/>
        </w:rPr>
        <w:t>No request to use XCOPRI outside the label and I did not go there. Logged as an observation only.</w:t>
      </w:r>
    </w:p>
    <w:p>
      <w:r>
        <w:rPr>
          <w:sz w:val="21"/>
        </w:rPr>
      </w:r>
    </w:p>
    <w:p>
      <w:r>
        <w:rPr>
          <w:sz w:val="21"/>
        </w:rPr>
        <w:t>Rest was logistics. Two pts referred in from the community side still waiting on video EEG slots. Fellow is covering f/u calls while the NP is out. Asked me to keep future visits in the Monday afternon window.</w:t>
      </w:r>
    </w:p>
    <w:p>
      <w:r>
        <w:rPr>
          <w:sz w:val="21"/>
        </w:rPr>
      </w:r>
    </w:p>
    <w:p>
      <w:r>
        <w:rPr>
          <w:sz w:val="21"/>
        </w:rPr>
        <w:t>No materials requested. No AE discussed. Will flag the adolescent comment internally and f/u next quarter, probably Jan. Next appt not set — will coordinate w/ the front desk.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