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October 13, 2025   |   From: Tom Alvarez,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20 min, mostly admin. Prior auth paperwork is the complaint.</w:t>
      </w:r>
    </w:p>
    <w:p>
      <w:r>
        <w:rPr>
          <w:sz w:val="21"/>
        </w:rPr>
        <w:t>&gt; One coordinator now does appeals full time. Says the payer forms ask the same thing three diffrent ways.</w:t>
      </w:r>
    </w:p>
    <w:p>
      <w:r>
        <w:rPr>
          <w:sz w:val="21"/>
        </w:rPr>
        <w:t>&gt; No product specifics discussed. Nothing requested.</w:t>
      </w:r>
    </w:p>
    <w:p>
      <w:r>
        <w:rPr>
          <w:sz w:val="21"/>
        </w:rPr>
      </w:r>
    </w:p>
    <w:p>
      <w:r>
        <w:rPr>
          <w:b/>
          <w:sz w:val="21"/>
        </w:rPr>
        <w:t>Marcus Boudreaux, MD, Bayou Regional Epilepsy Center, Baton Rouge, LA (RSM)</w:t>
      </w:r>
    </w:p>
    <w:p>
      <w:r>
        <w:rPr>
          <w:sz w:val="21"/>
        </w:rPr>
        <w:t>&gt; Adolescent DRE came up early, unprompted.</w:t>
      </w:r>
    </w:p>
    <w:p>
      <w:r>
        <w:rPr>
          <w:sz w:val="21"/>
        </w:rPr>
        <w:t>&gt; Said, and I quote, 'my hardest clinic days are telling parents of a seventeen-year-old that we have nothing new to offer until adulthood.'</w:t>
      </w:r>
    </w:p>
    <w:p>
      <w:r>
        <w:rPr>
          <w:sz w:val="21"/>
        </w:rPr>
        <w:t>&gt; Two such pts in clinic this month, both f/u in Nov.</w:t>
      </w:r>
    </w:p>
    <w:p>
      <w:r>
        <w:rPr>
          <w:sz w:val="21"/>
        </w:rPr>
        <w:t>&gt; Framed as a label limit, not a request to go around it. Confirmed CNB is adult only, no discussion of use under 18. Logging as recurring.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Quick stop, clinic running behind. Down one MA and one front desk since Aug.</w:t>
      </w:r>
    </w:p>
    <w:p>
      <w:r>
        <w:rPr>
          <w:sz w:val="21"/>
        </w:rPr>
        <w:t>&gt; New pt wait out to nine weeks. f/u appts get bumped first when someone calls out.</w:t>
      </w:r>
    </w:p>
    <w:p>
      <w:r>
        <w:rPr>
          <w:sz w:val="21"/>
        </w:rPr>
        <w:t>&gt; Asked me to keep visits under 15 min until they backfill. No requests.</w:t>
      </w:r>
    </w:p>
    <w:p>
      <w:r>
        <w:rPr>
          <w:sz w:val="21"/>
        </w:rPr>
      </w:r>
    </w:p>
    <w:p>
      <w:r>
        <w:rPr>
          <w:b/>
          <w:sz w:val="21"/>
        </w:rPr>
        <w:t>Peter Kowalczyk, MD, Green Mountain Neuroscience, Burlington, VT (RSM)</w:t>
      </w:r>
    </w:p>
    <w:p>
      <w:r>
        <w:rPr>
          <w:sz w:val="21"/>
        </w:rPr>
        <w:t>&gt; Most of the appt on referral mix.</w:t>
      </w:r>
    </w:p>
    <w:p>
      <w:r>
        <w:rPr>
          <w:sz w:val="21"/>
        </w:rPr>
        <w:t>&gt; Asked whether anyone is looking at post-stroke epilepsy, since more referrals lately are seizures after stroke.</w:t>
      </w:r>
    </w:p>
    <w:p>
      <w:r>
        <w:rPr>
          <w:sz w:val="21"/>
        </w:rPr>
        <w:t>&gt; Stroke unit sends them straight over now, no pathway back. Guessed 5 or 6 in the last yr.</w:t>
      </w:r>
    </w:p>
    <w:p>
      <w:r>
        <w:rPr>
          <w:sz w:val="21"/>
        </w:rPr>
        <w:t>&gt; Told them I would check what published lit exists. Promised nothing else, no product claims either side.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End of day, 10 min. Volume up vs last quarter, mostly outside referrals.</w:t>
      </w:r>
    </w:p>
    <w:p>
      <w:r>
        <w:rPr>
          <w:sz w:val="21"/>
        </w:rPr>
        <w:t>&gt; Two new pts a week on the epilepsy side, up from one. Says the mix is shifting older.</w:t>
      </w:r>
    </w:p>
    <w:p>
      <w:r>
        <w:rPr>
          <w:sz w:val="21"/>
        </w:rPr>
        <w:t>&gt; Nothing clinical. Next visit Dec.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