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December 8, 2025   |   From: Priya Menon, Tom Alvarez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Jorge Maldonado, MD, Redwood Basin Medical Group, Sacramento, CA (RSM)</w:t>
      </w:r>
    </w:p>
    <w:p>
      <w:r>
        <w:rPr>
          <w:sz w:val="21"/>
        </w:rPr>
        <w:t>&gt; Discussion was limited to logistics for the regional epilepsy meeting in the spring; the group plans to send two attendings and one NP this year.</w:t>
      </w:r>
    </w:p>
    <w:p>
      <w:r>
        <w:rPr>
          <w:sz w:val="21"/>
        </w:rPr>
        <w:t>&gt; Noted that the Friday sessions overlap with a full clinic day and asked whether the agenda would be circulated in advance.</w:t>
      </w:r>
    </w:p>
    <w:p>
      <w:r>
        <w:rPr>
          <w:sz w:val="21"/>
        </w:rPr>
        <w:t>&gt; Follow-ups: (1) forward the published agenda once available, (2) confirm whether the pre-meeting workshop requires seperate registration.</w:t>
      </w:r>
    </w:p>
    <w:p>
      <w:r>
        <w:rPr>
          <w:sz w:val="21"/>
        </w:rPr>
      </w:r>
    </w:p>
    <w:p>
      <w:r>
        <w:rPr>
          <w:b/>
          <w:sz w:val="21"/>
        </w:rPr>
        <w:t>Fiona Gallagher, MD, Great Lakes Epilepsy Institute, Madison, WI (RSM)</w:t>
      </w:r>
    </w:p>
    <w:p>
      <w:r>
        <w:rPr>
          <w:sz w:val="21"/>
        </w:rPr>
        <w:t>&gt; Most of the conversation concerned teaching load. Three residents are rotating through the epilepsy service this block, and journal club has moved to the first Tuesday of the month.</w:t>
      </w:r>
    </w:p>
    <w:p>
      <w:r>
        <w:rPr>
          <w:sz w:val="21"/>
        </w:rPr>
        <w:t>&gt; Asked whether an MSL may sit in on journal club as an observer; I described the usual practice and said I would confirm what is permitted.</w:t>
      </w:r>
    </w:p>
    <w:p>
      <w:r>
        <w:rPr>
          <w:sz w:val="21"/>
        </w:rPr>
        <w:t>&gt; Follow-ups: (1) confirm the observer attendance policy, (2) send the contact for room booking so the spring session can be scheduled.</w:t>
      </w:r>
    </w:p>
    <w:p>
      <w:r>
        <w:rPr>
          <w:sz w:val="21"/>
        </w:rPr>
      </w:r>
    </w:p>
    <w:p>
      <w:r>
        <w:rPr>
          <w:b/>
          <w:sz w:val="21"/>
        </w:rPr>
        <w:t>Priya Raghavan, MD, North Star Neurology, Minneapolis, MN (RSM)</w:t>
      </w:r>
    </w:p>
    <w:p>
      <w:r>
        <w:rPr>
          <w:sz w:val="21"/>
        </w:rPr>
        <w:t>&gt; Reviewed the focal-onset caseload at a high level. Most adults in the panel arrive already on one or two ASMs, referred in from primary care.</w:t>
      </w:r>
    </w:p>
    <w:p>
      <w:r>
        <w:rPr>
          <w:sz w:val="21"/>
        </w:rPr>
        <w:t>&gt; Noted one adult on cenobamate describing daytime somnolence severe enough to affect the daily commute.</w:t>
      </w:r>
    </w:p>
    <w:p>
      <w:r>
        <w:rPr>
          <w:sz w:val="21"/>
        </w:rPr>
        <w:t>&gt; I offered no comment on management and asked that the experience be reported through the standard safety channel; a report has been initiated on my side per procedure.</w:t>
      </w:r>
    </w:p>
    <w:p>
      <w:r>
        <w:rPr>
          <w:sz w:val="21"/>
        </w:rPr>
        <w:t>&gt; Follow-ups: (1) provide the safety intake reference once assigned, (2) resend the patient counseling material list requested in October.</w:t>
      </w:r>
    </w:p>
    <w:p>
      <w:r>
        <w:rPr>
          <w:sz w:val="21"/>
        </w:rPr>
      </w:r>
    </w:p>
    <w:p>
      <w:r>
        <w:rPr>
          <w:b/>
          <w:sz w:val="21"/>
        </w:rPr>
        <w:t>Alice Nguyen-Barr, MD, Old Dominion Neurology Group, Richmond, VA (AR)</w:t>
      </w:r>
    </w:p>
    <w:p>
      <w:r>
        <w:rPr>
          <w:sz w:val="21"/>
        </w:rPr>
        <w:t>&gt; Conversation centered on the geriatric share of the practice, which has grown noticeably over the past two years.</w:t>
      </w:r>
    </w:p>
    <w:p>
      <w:r>
        <w:rPr>
          <w:sz w:val="21"/>
        </w:rPr>
        <w:t>&gt; For older adults, the worry is less about efficacy and more about interaction checks and the burden of slow titration.</w:t>
      </w:r>
    </w:p>
    <w:p>
      <w:r>
        <w:rPr>
          <w:sz w:val="21"/>
        </w:rPr>
        <w:t>&gt; Added that every new start means a separate pharmacy review and at least two additional calls to the family, absorbed by the same front-desk staff.</w:t>
      </w:r>
    </w:p>
    <w:p>
      <w:r>
        <w:rPr>
          <w:sz w:val="21"/>
        </w:rPr>
        <w:t>&gt; Follow-ups: (1) identify which approved XCOPRI interaction reference may be shared, (2) ask Medical Information whether a caregiver-facing explainer on the titration period exists.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